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amsc20260930_10q.htm"/>
      <w:bookmarkStart w:id="1" w:name="ksamsc20260930_10q"/>
      <w:bookmarkEnd w:id="0"/>
      <w:bookmarkEnd w:id="1"/>
      <w:r>
        <w:t xml:space="preserve">  </w:t>
      </w:r>
    </w:p>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tbl>
      <w:tblPr>
        <w:tblW w:w="7645" w:type="dxa"/>
        <w:jc w:val="left"/>
        <w:tblInd w:w="0" w:type="dxa"/>
        <w:tblLayout w:type="fixed"/>
        <w:tblCellMar>
          <w:top w:w="0" w:type="dxa"/>
          <w:left w:w="0" w:type="dxa"/>
          <w:bottom w:w="0" w:type="dxa"/>
          <w:right w:w="0" w:type="dxa"/>
        </w:tblCellMar>
      </w:tblPr>
      <w:tblGrid>
        <w:gridCol w:w="230"/>
        <w:gridCol w:w="7415"/>
      </w:tblGrid>
      <w:tr>
        <w:tc>
          <w:tcPr>
            <w:tcW w:w="230" w:type="dxa"/>
            <w:tcBorders/>
            <w:vAlign w:val="center"/>
          </w:tcPr>
          <w:p>
            <w:pPr>
              <w:pStyle w:val="TableContents"/>
              <w:bidi w:val="0"/>
              <w:spacing w:before="0" w:after="0"/>
              <w:ind w:left="0" w:right="0" w:hanging="0"/>
              <w:jc w:val="left"/>
            </w:pPr>
            <w: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tbl>
      <w:tblPr>
        <w:tblW w:w="7690" w:type="dxa"/>
        <w:jc w:val="left"/>
        <w:tblInd w:w="0" w:type="dxa"/>
        <w:tblLayout w:type="fixed"/>
        <w:tblCellMar>
          <w:top w:w="0" w:type="dxa"/>
          <w:left w:w="0" w:type="dxa"/>
          <w:bottom w:w="0" w:type="dxa"/>
          <w:right w:w="0" w:type="dxa"/>
        </w:tblCellMar>
      </w:tblPr>
      <w:tblGrid>
        <w:gridCol w:w="230"/>
        <w:gridCol w:w="7460"/>
      </w:tblGrid>
      <w:tr>
        <w:tc>
          <w:tcPr>
            <w:tcW w:w="230" w:type="dxa"/>
            <w:tcBorders/>
            <w:vAlign w:val="center"/>
          </w:tcPr>
          <w:p>
            <w:pPr>
              <w:pStyle w:val="TableContents"/>
              <w:bidi w:val="0"/>
              <w:spacing w:before="0" w:after="0"/>
              <w:ind w:left="0" w:right="0" w:hanging="0"/>
              <w:jc w:val="left"/>
            </w:pPr>
            <w: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center"/>
      </w:pPr>
      <w:r>
        <w:t> </w:t>
      </w:r>
    </w:p>
    <w:tbl>
      <w:tblPr>
        <w:tblW w:w="4645" w:type="dxa"/>
        <w:jc w:val="left"/>
        <w:tblInd w:w="0" w:type="dxa"/>
        <w:tblLayout w:type="fixed"/>
        <w:tblCellMar>
          <w:top w:w="0" w:type="dxa"/>
          <w:left w:w="0" w:type="dxa"/>
          <w:bottom w:w="0" w:type="dxa"/>
          <w:right w:w="0" w:type="dxa"/>
        </w:tblCellMar>
      </w:tblPr>
      <w:tblGrid>
        <w:gridCol w:w="3275"/>
        <w:gridCol w:w="1370"/>
      </w:tblGrid>
      <w:t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c>
          <w:tcPr>
            <w:tcW w:w="3275" w:type="dxa"/>
            <w:tcBorders/>
            <w:vAlign w:val="center"/>
          </w:tcPr>
          <w:p>
            <w:pPr>
              <w:pStyle w:val="TableContents"/>
              <w:bidi w:val="0"/>
              <w:spacing w:before="0" w:after="0"/>
              <w:ind w:left="0" w:right="0" w:hanging="0"/>
              <w:jc w:val="left"/>
            </w:pPr>
            <w:r>
              <w:t> </w:t>
            </w:r>
          </w:p>
        </w:tc>
        <w:tc>
          <w:tcPr>
            <w:tcW w:w="1370" w:type="dxa"/>
            <w:tcBorders/>
            <w:vAlign w:val="center"/>
          </w:tcPr>
          <w:p>
            <w:pPr>
              <w:pStyle w:val="TableContents"/>
              <w:bidi w:val="0"/>
              <w:spacing w:before="0" w:after="0"/>
              <w:ind w:left="0" w:right="0" w:hanging="0"/>
              <w:jc w:val="left"/>
            </w:pPr>
            <w:r>
              <w:t> </w:t>
            </w:r>
          </w:p>
        </w:tc>
      </w:tr>
      <w:t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pPr>
      <w: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pPr>
      <w: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pPr>
      <w:r>
        <w:t> </w:t>
      </w:r>
    </w:p>
    <w:p>
      <w:pPr>
        <w:pStyle w:val="TextBody"/>
        <w:bidi w:val="0"/>
        <w:spacing w:before="0" w:after="0"/>
        <w:ind w:left="0" w:right="0" w:hanging="0"/>
        <w:jc w:val="center"/>
      </w:pPr>
      <w:r>
        <w:t xml:space="preserve">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c>
          <w:tcPr>
            <w:tcW w:w="2150" w:type="dxa"/>
            <w:tcBorders/>
            <w:vAlign w:val="center"/>
          </w:tcPr>
          <w:p>
            <w:pPr>
              <w:pStyle w:val="TableContents"/>
              <w:bidi w:val="0"/>
              <w:spacing w:before="0" w:after="0"/>
              <w:ind w:left="0" w:right="0" w:hanging="0"/>
              <w:jc w:val="left"/>
            </w:pPr>
            <w: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Shares outstanding of the Registrant’s common stock:</w:t>
      </w:r>
    </w:p>
    <w:p>
      <w:pPr>
        <w:pStyle w:val="TextBody"/>
        <w:bidi w:val="0"/>
        <w:spacing w:before="0" w:after="0"/>
        <w:ind w:left="0" w:right="0" w:hanging="0"/>
        <w:jc w:val="center"/>
      </w:pPr>
      <w:r>
        <w:t> </w:t>
      </w:r>
    </w:p>
    <w:tbl>
      <w:tblPr>
        <w:tblW w:w="6640" w:type="dxa"/>
        <w:jc w:val="left"/>
        <w:tblInd w:w="0" w:type="dxa"/>
        <w:tblLayout w:type="fixed"/>
        <w:tblCellMar>
          <w:top w:w="0" w:type="dxa"/>
          <w:left w:w="0" w:type="dxa"/>
          <w:bottom w:w="28" w:type="dxa"/>
          <w:right w:w="0" w:type="dxa"/>
        </w:tblCellMar>
      </w:tblPr>
      <w:tblGrid>
        <w:gridCol w:w="3575"/>
        <w:gridCol w:w="60"/>
        <w:gridCol w:w="3005"/>
      </w:tblGrid>
      <w:tr>
        <w:tc>
          <w:tcPr>
            <w:tcW w:w="3575"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283"/>
              <w:jc w:val="left"/>
            </w:pPr>
            <w:r>
              <w:t> </w:t>
            </w:r>
          </w:p>
        </w:tc>
        <w:tc>
          <w:tcPr>
            <w:tcW w:w="3005"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as of October 30, 2026</w:t>
            </w:r>
          </w:p>
        </w:tc>
      </w:tr>
      <w:t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Common Stock, par value $0.01 per share</w:t>
            </w:r>
          </w:p>
        </w:tc>
        <w:tc>
          <w:tcPr>
            <w:tcW w:w="60" w:type="dxa"/>
            <w:tcBorders/>
            <w:tcMar>
              <w:bottom w:w="0" w:type="dxa"/>
            </w:tcMar>
            <w:vAlign w:val="center"/>
          </w:tcPr>
          <w:p>
            <w:pPr>
              <w:pStyle w:val="TableContents"/>
              <w:bidi w:val="0"/>
              <w:spacing w:before="0" w:after="0"/>
              <w:ind w:left="0" w:right="0" w:hanging="0"/>
              <w:jc w:val="left"/>
            </w:pPr>
            <w: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48,455,057</w:t>
            </w:r>
          </w:p>
        </w:tc>
      </w:tr>
    </w:tbl>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p>
      <w:pPr>
        <w:pStyle w:val="TextBody"/>
        <w:bidi w:val="0"/>
        <w:spacing w:before="0" w:after="0"/>
        <w:ind w:left="0" w:right="0" w:hanging="0"/>
        <w:jc w:val="center"/>
      </w:pPr>
      <w:r>
        <w:t xml:space="preserve">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pPr>
      <w: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c>
          <w:tcPr>
            <w:tcW w:w="8095" w:type="dxa"/>
            <w:gridSpan w:val="2"/>
            <w:tcBorders/>
            <w:vAlign w:val="center"/>
          </w:tcPr>
          <w:p>
            <w:pPr>
              <w:pStyle w:val="TableContents"/>
              <w:bidi w:val="0"/>
              <w:spacing w:before="0" w:after="0"/>
              <w:ind w:left="0" w:right="0" w:hanging="0"/>
              <w:jc w:val="left"/>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pPr>
            <w:hyperlink w:anchor="finstate">
              <w:r>
                <w:rPr>
                  <w:rStyle w:val="InternetLink"/>
                  <w:rFonts w:ascii="Times New Roman;Times;serif" w:hAnsi="Times New Roman;Times;serif"/>
                  <w:sz w:val="20"/>
                </w:rPr>
                <w:t>3</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pPr>
            <w:hyperlink w:anchor="mdna">
              <w:r>
                <w:rPr>
                  <w:rStyle w:val="InternetLink"/>
                  <w:rFonts w:ascii="Times New Roman;Times;serif" w:hAnsi="Times New Roman;Times;serif"/>
                  <w:sz w:val="20"/>
                </w:rPr>
                <w:t>28</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pPr>
            <w:hyperlink w:anchor="item3">
              <w:r>
                <w:rPr>
                  <w:rStyle w:val="InternetLink"/>
                  <w:rFonts w:ascii="Times New Roman;Times;serif" w:hAnsi="Times New Roman;Times;serif"/>
                  <w:sz w:val="20"/>
                </w:rPr>
                <w:t>36</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pPr>
            <w:hyperlink w:anchor="item4">
              <w:r>
                <w:rPr>
                  <w:rStyle w:val="InternetLink"/>
                  <w:rFonts w:ascii="Times New Roman;Times;serif" w:hAnsi="Times New Roman;Times;serif"/>
                  <w:sz w:val="20"/>
                </w:rPr>
                <w:t>36</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095" w:type="dxa"/>
            <w:gridSpan w:val="2"/>
            <w:tcBorders/>
            <w:vAlign w:val="center"/>
          </w:tcPr>
          <w:p>
            <w:pPr>
              <w:pStyle w:val="TableContents"/>
              <w:bidi w:val="0"/>
              <w:spacing w:before="0" w:after="0"/>
              <w:ind w:left="0" w:right="0" w:hanging="0"/>
              <w:jc w:val="left"/>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pPr>
            <w:hyperlink w:anchor="itemone">
              <w:r>
                <w:rPr>
                  <w:rStyle w:val="InternetLink"/>
                  <w:rFonts w:ascii="Times New Roman;Times;serif" w:hAnsi="Times New Roman;Times;serif"/>
                  <w:sz w:val="20"/>
                </w:rPr>
                <w:t>37</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pPr>
            <w:hyperlink w:anchor="item1a">
              <w:r>
                <w:rPr>
                  <w:rStyle w:val="InternetLink"/>
                  <w:rFonts w:ascii="Times New Roman;Times;serif" w:hAnsi="Times New Roman;Times;serif"/>
                  <w:sz w:val="20"/>
                </w:rPr>
                <w:t>37</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pPr>
            <w:hyperlink w:anchor="unregsales">
              <w:r>
                <w:rPr>
                  <w:rStyle w:val="InternetLink"/>
                  <w:rFonts w:ascii="Times New Roman;Times;serif" w:hAnsi="Times New Roman;Times;serif"/>
                  <w:sz w:val="20"/>
                </w:rPr>
                <w:t>37</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pPr>
            <w:hyperlink w:anchor="itemthree">
              <w:r>
                <w:rPr>
                  <w:rStyle w:val="InternetLink"/>
                  <w:rFonts w:ascii="Times New Roman;Times;serif" w:hAnsi="Times New Roman;Times;serif"/>
                  <w:sz w:val="20"/>
                </w:rPr>
                <w:t>37</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pPr>
            <w:hyperlink w:anchor="itemfour">
              <w:r>
                <w:rPr>
                  <w:rStyle w:val="InternetLink"/>
                  <w:rFonts w:ascii="Times New Roman;Times;serif" w:hAnsi="Times New Roman;Times;serif"/>
                  <w:sz w:val="20"/>
                </w:rPr>
                <w:t>Mine Safety Disclosures</w:t>
              </w:r>
            </w:hyperlink>
          </w:p>
        </w:tc>
        <w:tc>
          <w:tcPr>
            <w:tcW w:w="785" w:type="dxa"/>
            <w:tcBorders/>
            <w:vAlign w:val="center"/>
          </w:tcPr>
          <w:p>
            <w:pPr>
              <w:pStyle w:val="TableContents"/>
              <w:bidi w:val="0"/>
              <w:spacing w:before="0" w:after="0"/>
              <w:ind w:left="0" w:right="0" w:hanging="0"/>
              <w:jc w:val="right"/>
            </w:pPr>
            <w:hyperlink w:anchor="itemfour">
              <w:r>
                <w:rPr>
                  <w:rStyle w:val="InternetLink"/>
                  <w:rFonts w:ascii="Times New Roman;Times;serif" w:hAnsi="Times New Roman;Times;serif"/>
                  <w:sz w:val="20"/>
                </w:rPr>
                <w:t>37</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pPr>
            <w:hyperlink w:anchor="item5">
              <w:r>
                <w:rPr>
                  <w:rStyle w:val="InternetLink"/>
                  <w:rFonts w:ascii="Times New Roman;Times;serif" w:hAnsi="Times New Roman;Times;serif"/>
                  <w:sz w:val="20"/>
                </w:rPr>
                <w:t>37</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pPr>
            <w:hyperlink w:anchor="item6">
              <w:r>
                <w:rPr>
                  <w:rStyle w:val="InternetLink"/>
                  <w:rFonts w:ascii="Times New Roman;Times;serif" w:hAnsi="Times New Roman;Times;serif"/>
                  <w:sz w:val="20"/>
                </w:rPr>
                <w:t>38</w:t>
              </w:r>
            </w:hyperlink>
          </w:p>
        </w:tc>
      </w:tr>
      <w:tr>
        <w:tc>
          <w:tcPr>
            <w:tcW w:w="81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left"/>
            </w:pPr>
            <w:r>
              <w:t> </w:t>
            </w:r>
          </w:p>
        </w:tc>
      </w:tr>
      <w:tr>
        <w:tc>
          <w:tcPr>
            <w:tcW w:w="815" w:type="dxa"/>
            <w:tcBorders/>
            <w:vAlign w:val="center"/>
          </w:tcPr>
          <w:p>
            <w:pPr>
              <w:pStyle w:val="TableContents"/>
              <w:bidi w:val="0"/>
              <w:spacing w:before="0" w:after="0"/>
              <w:ind w:left="0" w:right="0" w:hanging="0"/>
              <w:jc w:val="left"/>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pPr>
            <w:r>
              <w:t> </w:t>
            </w:r>
          </w:p>
        </w:tc>
        <w:tc>
          <w:tcPr>
            <w:tcW w:w="785" w:type="dxa"/>
            <w:tcBorders/>
            <w:vAlign w:val="center"/>
          </w:tcPr>
          <w:p>
            <w:pPr>
              <w:pStyle w:val="TableContents"/>
              <w:bidi w:val="0"/>
              <w:spacing w:before="0" w:after="0"/>
              <w:ind w:left="0" w:right="0" w:hanging="0"/>
              <w:jc w:val="right"/>
            </w:pPr>
            <w:hyperlink w:anchor="signature">
              <w:r>
                <w:rPr>
                  <w:rStyle w:val="InternetLink"/>
                  <w:rFonts w:ascii="Times New Roman;Times;serif" w:hAnsi="Times New Roman;Times;serif"/>
                  <w:sz w:val="20"/>
                </w:rPr>
                <w:t>39</w:t>
              </w:r>
            </w:hyperlink>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7777"/>
        <w:gridCol w:w="60"/>
        <w:gridCol w:w="145"/>
        <w:gridCol w:w="978"/>
        <w:gridCol w:w="80"/>
        <w:gridCol w:w="60"/>
        <w:gridCol w:w="130"/>
        <w:gridCol w:w="878"/>
        <w:gridCol w:w="97"/>
      </w:tblGrid>
      <w:tr>
        <w:tc>
          <w:tcPr>
            <w:tcW w:w="777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18"/>
              </w:rPr>
              <w:t>September 30, 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18"/>
              </w:rPr>
              <w:t>March 31, 2026</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center"/>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center"/>
            </w:pPr>
            <w:r>
              <w:t> </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assets:</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rPr>
                <w:sz w:val="18"/>
              </w:rPr>
            </w:pPr>
            <w:r>
              <w:rPr>
                <w:sz w:val="18"/>
              </w:rPr>
              <w:t>$</w:t>
            </w:r>
          </w:p>
        </w:tc>
        <w:tc>
          <w:tcPr>
            <w:tcW w:w="978" w:type="dxa"/>
            <w:tcBorders/>
            <w:shd w:fill="CCEEFF" w:val="clear"/>
            <w:vAlign w:val="center"/>
          </w:tcPr>
          <w:p>
            <w:pPr>
              <w:pStyle w:val="TableContents"/>
              <w:bidi w:val="0"/>
              <w:spacing w:before="0" w:after="283"/>
              <w:jc w:val="right"/>
              <w:rPr>
                <w:sz w:val="18"/>
              </w:rPr>
            </w:pPr>
            <w:r>
              <w:rPr>
                <w:sz w:val="18"/>
              </w:rPr>
              <w:t>169,916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rPr>
                <w:sz w:val="18"/>
              </w:rPr>
            </w:pPr>
            <w:r>
              <w:rPr>
                <w:sz w:val="18"/>
              </w:rPr>
              <w:t>$</w:t>
            </w:r>
          </w:p>
        </w:tc>
        <w:tc>
          <w:tcPr>
            <w:tcW w:w="878" w:type="dxa"/>
            <w:tcBorders/>
            <w:shd w:fill="CCEEFF" w:val="clear"/>
            <w:vAlign w:val="center"/>
          </w:tcPr>
          <w:p>
            <w:pPr>
              <w:pStyle w:val="TableContents"/>
              <w:bidi w:val="0"/>
              <w:spacing w:before="0" w:after="283"/>
              <w:jc w:val="right"/>
              <w:rPr>
                <w:sz w:val="18"/>
              </w:rPr>
            </w:pPr>
            <w:r>
              <w:rPr>
                <w:sz w:val="18"/>
              </w:rPr>
              <w:t>140,693</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66,354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69,381</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Inventory, net</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98,184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103,748</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12,254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14,367</w:t>
            </w:r>
          </w:p>
        </w:tc>
        <w:tc>
          <w:tcPr>
            <w:tcW w:w="97" w:type="dxa"/>
            <w:tcBorders/>
            <w:shd w:fill="FFFFFF" w:val="clear"/>
            <w:vAlign w:val="center"/>
          </w:tcPr>
          <w:p>
            <w:pPr>
              <w:pStyle w:val="TableContents"/>
              <w:bidi w:val="0"/>
              <w:spacing w:before="0" w:after="283"/>
              <w:ind w:left="0" w:right="0" w:hanging="0"/>
              <w:jc w:val="left"/>
            </w:pPr>
            <w:r>
              <w:t> </w:t>
            </w:r>
          </w:p>
        </w:tc>
      </w:tr>
      <w:t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CCEEFF" w:val="clear"/>
            <w:vAlign w:val="center"/>
          </w:tcPr>
          <w:p>
            <w:pPr>
              <w:pStyle w:val="TableContents"/>
              <w:bidi w:val="0"/>
              <w:spacing w:before="0" w:after="0"/>
              <w:ind w:left="0" w:right="0" w:hanging="0"/>
              <w:jc w:val="left"/>
            </w:pPr>
            <w: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7,293</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3,548</w:t>
            </w:r>
          </w:p>
        </w:tc>
        <w:tc>
          <w:tcPr>
            <w:tcW w:w="97" w:type="dxa"/>
            <w:tcBorders/>
            <w:shd w:fill="CCEEFF" w:val="clear"/>
            <w:vAlign w:val="center"/>
          </w:tcPr>
          <w:p>
            <w:pPr>
              <w:pStyle w:val="TableContents"/>
              <w:bidi w:val="0"/>
              <w:spacing w:before="0" w:after="0"/>
              <w:jc w:val="left"/>
            </w:pPr>
            <w:r>
              <w:t> </w:t>
            </w:r>
          </w:p>
        </w:tc>
      </w:tr>
      <w:tr>
        <w:tc>
          <w:tcPr>
            <w:tcW w:w="7777"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assets</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978" w:type="dxa"/>
            <w:tcBorders/>
            <w:shd w:fill="FFFFFF" w:val="clear"/>
            <w:vAlign w:val="center"/>
          </w:tcPr>
          <w:p>
            <w:pPr>
              <w:pStyle w:val="TableContents"/>
              <w:bidi w:val="0"/>
              <w:spacing w:before="0" w:after="283"/>
              <w:ind w:left="0" w:right="0" w:hanging="0"/>
              <w:jc w:val="right"/>
              <w:rPr>
                <w:sz w:val="18"/>
              </w:rPr>
            </w:pPr>
            <w:r>
              <w:rPr>
                <w:sz w:val="18"/>
              </w:rPr>
              <w:t>354,001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878" w:type="dxa"/>
            <w:tcBorders/>
            <w:shd w:fill="FFFFFF" w:val="clear"/>
            <w:vAlign w:val="center"/>
          </w:tcPr>
          <w:p>
            <w:pPr>
              <w:pStyle w:val="TableContents"/>
              <w:bidi w:val="0"/>
              <w:spacing w:before="0" w:after="283"/>
              <w:ind w:left="0" w:right="0" w:hanging="0"/>
              <w:jc w:val="right"/>
              <w:rPr>
                <w:sz w:val="18"/>
              </w:rPr>
            </w:pPr>
            <w:r>
              <w:rPr>
                <w:sz w:val="18"/>
              </w:rPr>
              <w:t>331,737</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100,869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89,775</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Intangibles, net</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11,700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13,548</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Right-of-use assets</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7,056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3,897</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Goodwill</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176,341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175,376</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4,694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3,312</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tax assets, long-term portion</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117,286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119,474</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Equity-method investments</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1,429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1,333</w:t>
            </w:r>
          </w:p>
        </w:tc>
        <w:tc>
          <w:tcPr>
            <w:tcW w:w="97" w:type="dxa"/>
            <w:tcBorders/>
            <w:shd w:fill="FFFFFF" w:val="clear"/>
            <w:vAlign w:val="center"/>
          </w:tcPr>
          <w:p>
            <w:pPr>
              <w:pStyle w:val="TableContents"/>
              <w:bidi w:val="0"/>
              <w:spacing w:before="0" w:after="283"/>
              <w:ind w:left="0" w:right="0" w:hanging="0"/>
              <w:jc w:val="left"/>
            </w:pPr>
            <w:r>
              <w:t> </w:t>
            </w:r>
          </w:p>
        </w:tc>
      </w:tr>
      <w:t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60" w:type="dxa"/>
            <w:tcBorders/>
            <w:shd w:fill="CCEEFF" w:val="clear"/>
            <w:vAlign w:val="center"/>
          </w:tcPr>
          <w:p>
            <w:pPr>
              <w:pStyle w:val="TableContents"/>
              <w:bidi w:val="0"/>
              <w:spacing w:before="0" w:after="0"/>
              <w:ind w:left="0" w:right="0" w:hanging="0"/>
              <w:jc w:val="left"/>
            </w:pPr>
            <w: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1,284</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1,029</w:t>
            </w:r>
          </w:p>
        </w:tc>
        <w:tc>
          <w:tcPr>
            <w:tcW w:w="97" w:type="dxa"/>
            <w:tcBorders/>
            <w:shd w:fill="CCEEFF" w:val="clear"/>
            <w:vAlign w:val="center"/>
          </w:tcPr>
          <w:p>
            <w:pPr>
              <w:pStyle w:val="TableContents"/>
              <w:bidi w:val="0"/>
              <w:spacing w:before="0" w:after="0"/>
              <w:jc w:val="left"/>
            </w:pPr>
            <w:r>
              <w:t> </w:t>
            </w:r>
          </w:p>
        </w:tc>
      </w:tr>
      <w:tr>
        <w:tc>
          <w:tcPr>
            <w:tcW w:w="7777"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assets</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774,660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739,481</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center"/>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center"/>
            </w:pPr>
            <w:r>
              <w:t> </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liabilities:</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rPr>
                <w:sz w:val="18"/>
              </w:rPr>
            </w:pPr>
            <w:r>
              <w:rPr>
                <w:sz w:val="18"/>
              </w:rPr>
              <w:t>$</w:t>
            </w:r>
          </w:p>
        </w:tc>
        <w:tc>
          <w:tcPr>
            <w:tcW w:w="978" w:type="dxa"/>
            <w:tcBorders/>
            <w:shd w:fill="CCEEFF" w:val="clear"/>
            <w:vAlign w:val="center"/>
          </w:tcPr>
          <w:p>
            <w:pPr>
              <w:pStyle w:val="TableContents"/>
              <w:bidi w:val="0"/>
              <w:spacing w:before="0" w:after="283"/>
              <w:jc w:val="right"/>
              <w:rPr>
                <w:sz w:val="18"/>
              </w:rPr>
            </w:pPr>
            <w:r>
              <w:rPr>
                <w:sz w:val="18"/>
              </w:rPr>
              <w:t>44,575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rPr>
                <w:sz w:val="18"/>
              </w:rPr>
            </w:pPr>
            <w:r>
              <w:rPr>
                <w:sz w:val="18"/>
              </w:rPr>
              <w:t>$</w:t>
            </w:r>
          </w:p>
        </w:tc>
        <w:tc>
          <w:tcPr>
            <w:tcW w:w="878" w:type="dxa"/>
            <w:tcBorders/>
            <w:shd w:fill="CCEEFF" w:val="clear"/>
            <w:vAlign w:val="center"/>
          </w:tcPr>
          <w:p>
            <w:pPr>
              <w:pStyle w:val="TableContents"/>
              <w:bidi w:val="0"/>
              <w:spacing w:before="0" w:after="283"/>
              <w:jc w:val="right"/>
              <w:rPr>
                <w:sz w:val="18"/>
              </w:rPr>
            </w:pPr>
            <w:r>
              <w:rPr>
                <w:sz w:val="18"/>
              </w:rPr>
              <w:t>46,545</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current portion</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1,387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1,238</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Contingent consideration, current portion</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6,189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12,808</w:t>
            </w:r>
          </w:p>
        </w:tc>
        <w:tc>
          <w:tcPr>
            <w:tcW w:w="97" w:type="dxa"/>
            <w:tcBorders/>
            <w:shd w:fill="CCEEFF" w:val="clear"/>
            <w:vAlign w:val="center"/>
          </w:tcPr>
          <w:p>
            <w:pPr>
              <w:pStyle w:val="TableContents"/>
              <w:bidi w:val="0"/>
              <w:spacing w:before="0" w:after="283"/>
              <w:ind w:left="0" w:right="0" w:hanging="0"/>
              <w:jc w:val="left"/>
            </w:pPr>
            <w:r>
              <w:t> </w:t>
            </w:r>
          </w:p>
        </w:tc>
      </w:tr>
      <w:t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 portion</w:t>
            </w:r>
          </w:p>
        </w:tc>
        <w:tc>
          <w:tcPr>
            <w:tcW w:w="60" w:type="dxa"/>
            <w:tcBorders/>
            <w:shd w:fill="FFFFFF" w:val="clear"/>
            <w:vAlign w:val="center"/>
          </w:tcPr>
          <w:p>
            <w:pPr>
              <w:pStyle w:val="TableContents"/>
              <w:bidi w:val="0"/>
              <w:spacing w:before="0" w:after="0"/>
              <w:ind w:left="0" w:right="0" w:hanging="0"/>
              <w:jc w:val="left"/>
            </w:pPr>
            <w: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96,314</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77,936</w:t>
            </w:r>
          </w:p>
        </w:tc>
        <w:tc>
          <w:tcPr>
            <w:tcW w:w="97" w:type="dxa"/>
            <w:tcBorders/>
            <w:shd w:fill="FFFFFF" w:val="clear"/>
            <w:vAlign w:val="center"/>
          </w:tcPr>
          <w:p>
            <w:pPr>
              <w:pStyle w:val="TableContents"/>
              <w:bidi w:val="0"/>
              <w:spacing w:before="0" w:after="0"/>
              <w:jc w:val="left"/>
            </w:pPr>
            <w:r>
              <w:t> </w:t>
            </w:r>
          </w:p>
        </w:tc>
      </w:tr>
      <w:tr>
        <w:tc>
          <w:tcPr>
            <w:tcW w:w="7777"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liabilities</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ind w:left="0" w:right="0" w:hanging="0"/>
              <w:jc w:val="left"/>
            </w:pPr>
            <w:r>
              <w:t> </w:t>
            </w:r>
          </w:p>
        </w:tc>
        <w:tc>
          <w:tcPr>
            <w:tcW w:w="978" w:type="dxa"/>
            <w:tcBorders/>
            <w:shd w:fill="CCEEFF" w:val="clear"/>
            <w:vAlign w:val="center"/>
          </w:tcPr>
          <w:p>
            <w:pPr>
              <w:pStyle w:val="TableContents"/>
              <w:bidi w:val="0"/>
              <w:spacing w:before="0" w:after="283"/>
              <w:ind w:left="0" w:right="0" w:hanging="0"/>
              <w:jc w:val="right"/>
              <w:rPr>
                <w:sz w:val="18"/>
              </w:rPr>
            </w:pPr>
            <w:r>
              <w:rPr>
                <w:sz w:val="18"/>
              </w:rPr>
              <w:t>148,465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878" w:type="dxa"/>
            <w:tcBorders/>
            <w:shd w:fill="CCEEFF" w:val="clear"/>
            <w:vAlign w:val="center"/>
          </w:tcPr>
          <w:p>
            <w:pPr>
              <w:pStyle w:val="TableContents"/>
              <w:bidi w:val="0"/>
              <w:spacing w:before="0" w:after="283"/>
              <w:ind w:left="0" w:right="0" w:hanging="0"/>
              <w:jc w:val="right"/>
              <w:rPr>
                <w:sz w:val="18"/>
              </w:rPr>
            </w:pPr>
            <w:r>
              <w:rPr>
                <w:sz w:val="18"/>
              </w:rPr>
              <w:t>138,527</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revenue, long-term portion</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13,280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15,395</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long-term portion</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5,837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2,762</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Contingent consideration, long-term portion</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24,296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26,721</w:t>
            </w:r>
          </w:p>
        </w:tc>
        <w:tc>
          <w:tcPr>
            <w:tcW w:w="97" w:type="dxa"/>
            <w:tcBorders/>
            <w:shd w:fill="CCEEFF" w:val="clear"/>
            <w:vAlign w:val="center"/>
          </w:tcPr>
          <w:p>
            <w:pPr>
              <w:pStyle w:val="TableContents"/>
              <w:bidi w:val="0"/>
              <w:spacing w:before="0" w:after="283"/>
              <w:ind w:left="0" w:right="0" w:hanging="0"/>
              <w:jc w:val="left"/>
            </w:pPr>
            <w:r>
              <w:t> </w:t>
            </w:r>
          </w:p>
        </w:tc>
      </w:tr>
      <w:t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60" w:type="dxa"/>
            <w:tcBorders/>
            <w:shd w:fill="FFFFFF" w:val="clear"/>
            <w:vAlign w:val="center"/>
          </w:tcPr>
          <w:p>
            <w:pPr>
              <w:pStyle w:val="TableContents"/>
              <w:bidi w:val="0"/>
              <w:spacing w:before="0" w:after="0"/>
              <w:ind w:left="0" w:right="0" w:hanging="0"/>
              <w:jc w:val="left"/>
            </w:pPr>
            <w: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648</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629</w:t>
            </w:r>
          </w:p>
        </w:tc>
        <w:tc>
          <w:tcPr>
            <w:tcW w:w="97" w:type="dxa"/>
            <w:tcBorders/>
            <w:shd w:fill="FFFFFF" w:val="clear"/>
            <w:vAlign w:val="center"/>
          </w:tcPr>
          <w:p>
            <w:pPr>
              <w:pStyle w:val="TableContents"/>
              <w:bidi w:val="0"/>
              <w:spacing w:before="0" w:after="0"/>
              <w:jc w:val="left"/>
            </w:pPr>
            <w:r>
              <w:t> </w:t>
            </w:r>
          </w:p>
        </w:tc>
      </w:tr>
      <w:tr>
        <w:tc>
          <w:tcPr>
            <w:tcW w:w="7777"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w:t>
            </w:r>
          </w:p>
        </w:tc>
        <w:tc>
          <w:tcPr>
            <w:tcW w:w="60" w:type="dxa"/>
            <w:tcBorders/>
            <w:shd w:fill="CCEEFF" w:val="clear"/>
            <w:vAlign w:val="center"/>
          </w:tcPr>
          <w:p>
            <w:pPr>
              <w:pStyle w:val="TableContents"/>
              <w:bidi w:val="0"/>
              <w:spacing w:before="0" w:after="283"/>
              <w:jc w:val="left"/>
            </w:pPr>
            <w: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192,526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184,034</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Commitments and Contingencies (Note 16)</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Stockholders' equity:</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Common stock, $0.01 par value, 75,000,000 shares authorized; 48,868,908 and 48,035,691 shares issued and 48,465,557 and 47,632,340 shares outstanding at September 30, 2026 and March 31, 2026, respectively</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489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480</w:t>
            </w:r>
          </w:p>
        </w:tc>
        <w:tc>
          <w:tcPr>
            <w:tcW w:w="97" w:type="dxa"/>
            <w:tcBorders/>
            <w:shd w:fill="FFFFFF" w:val="clear"/>
            <w:vAlign w:val="center"/>
          </w:tcPr>
          <w:p>
            <w:pPr>
              <w:pStyle w:val="TableContents"/>
              <w:bidi w:val="0"/>
              <w:spacing w:before="0" w:after="283"/>
              <w:jc w:val="left"/>
            </w:pPr>
            <w:r>
              <w:t> </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1,494,490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1,481,476</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Treasury stock, at cost, 403,351 at September 30, 2026 and March 31, 2026</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978" w:type="dxa"/>
            <w:tcBorders/>
            <w:shd w:fill="FFFFFF" w:val="clear"/>
            <w:vAlign w:val="center"/>
          </w:tcPr>
          <w:p>
            <w:pPr>
              <w:pStyle w:val="TableContents"/>
              <w:bidi w:val="0"/>
              <w:spacing w:before="0" w:after="283"/>
              <w:jc w:val="right"/>
              <w:rPr>
                <w:sz w:val="18"/>
              </w:rPr>
            </w:pPr>
            <w:r>
              <w:rPr>
                <w:sz w:val="18"/>
              </w:rPr>
              <w:t>(3,765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878" w:type="dxa"/>
            <w:tcBorders/>
            <w:shd w:fill="FFFFFF" w:val="clear"/>
            <w:vAlign w:val="center"/>
          </w:tcPr>
          <w:p>
            <w:pPr>
              <w:pStyle w:val="TableContents"/>
              <w:bidi w:val="0"/>
              <w:spacing w:before="0" w:after="283"/>
              <w:jc w:val="right"/>
              <w:rPr>
                <w:sz w:val="18"/>
              </w:rPr>
            </w:pPr>
            <w:r>
              <w:rPr>
                <w:sz w:val="18"/>
              </w:rPr>
              <w:t>(3,765</w:t>
            </w:r>
          </w:p>
        </w:tc>
        <w:tc>
          <w:tcPr>
            <w:tcW w:w="97" w:type="dxa"/>
            <w:tcBorders/>
            <w:shd w:fill="FFFFFF" w:val="clear"/>
            <w:vAlign w:val="center"/>
          </w:tcPr>
          <w:p>
            <w:pPr>
              <w:pStyle w:val="TableContents"/>
              <w:bidi w:val="0"/>
              <w:spacing w:before="0" w:after="283"/>
              <w:jc w:val="left"/>
              <w:rPr>
                <w:sz w:val="18"/>
              </w:rPr>
            </w:pPr>
            <w:r>
              <w:rPr>
                <w:sz w:val="18"/>
              </w:rPr>
              <w:t>)</w:t>
            </w:r>
          </w:p>
        </w:tc>
      </w:tr>
      <w:tr>
        <w:tc>
          <w:tcPr>
            <w:tcW w:w="777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Accumulated other comprehensive income</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978" w:type="dxa"/>
            <w:tcBorders/>
            <w:shd w:fill="CCEEFF" w:val="clear"/>
            <w:vAlign w:val="center"/>
          </w:tcPr>
          <w:p>
            <w:pPr>
              <w:pStyle w:val="TableContents"/>
              <w:bidi w:val="0"/>
              <w:spacing w:before="0" w:after="283"/>
              <w:jc w:val="right"/>
              <w:rPr>
                <w:sz w:val="18"/>
              </w:rPr>
            </w:pPr>
            <w:r>
              <w:rPr>
                <w:sz w:val="18"/>
              </w:rPr>
              <w:t>5,247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878" w:type="dxa"/>
            <w:tcBorders/>
            <w:shd w:fill="CCEEFF" w:val="clear"/>
            <w:vAlign w:val="center"/>
          </w:tcPr>
          <w:p>
            <w:pPr>
              <w:pStyle w:val="TableContents"/>
              <w:bidi w:val="0"/>
              <w:spacing w:before="0" w:after="283"/>
              <w:jc w:val="right"/>
              <w:rPr>
                <w:sz w:val="18"/>
              </w:rPr>
            </w:pPr>
            <w:r>
              <w:rPr>
                <w:sz w:val="18"/>
              </w:rPr>
              <w:t>4,072</w:t>
            </w:r>
          </w:p>
        </w:tc>
        <w:tc>
          <w:tcPr>
            <w:tcW w:w="97" w:type="dxa"/>
            <w:tcBorders/>
            <w:shd w:fill="CCEEFF" w:val="clear"/>
            <w:vAlign w:val="center"/>
          </w:tcPr>
          <w:p>
            <w:pPr>
              <w:pStyle w:val="TableContents"/>
              <w:bidi w:val="0"/>
              <w:spacing w:before="0" w:after="283"/>
              <w:ind w:left="0" w:right="0" w:hanging="0"/>
              <w:jc w:val="left"/>
            </w:pPr>
            <w:r>
              <w:t> </w:t>
            </w:r>
          </w:p>
        </w:tc>
      </w:tr>
      <w:tr>
        <w:tc>
          <w:tcPr>
            <w:tcW w:w="777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60" w:type="dxa"/>
            <w:tcBorders/>
            <w:shd w:fill="FFFFFF" w:val="clear"/>
            <w:vAlign w:val="center"/>
          </w:tcPr>
          <w:p>
            <w:pPr>
              <w:pStyle w:val="TableContents"/>
              <w:bidi w:val="0"/>
              <w:spacing w:before="0" w:after="0"/>
              <w:ind w:left="0" w:right="0" w:hanging="0"/>
              <w:jc w:val="left"/>
            </w:pPr>
            <w: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(914,327</w:t>
            </w:r>
          </w:p>
        </w:tc>
        <w:tc>
          <w:tcPr>
            <w:tcW w:w="80" w:type="dxa"/>
            <w:tcBorders/>
            <w:shd w:fill="FFFFFF" w:val="clear"/>
            <w:vAlign w:val="center"/>
          </w:tcPr>
          <w:p>
            <w:pPr>
              <w:pStyle w:val="TableContents"/>
              <w:bidi w:val="0"/>
              <w:spacing w:before="0" w:after="0"/>
              <w:ind w:left="0" w:right="0" w:hanging="0"/>
              <w:jc w:val="left"/>
              <w:rPr>
                <w:sz w:val="18"/>
              </w:rPr>
            </w:pPr>
            <w:r>
              <w:rPr>
                <w:sz w:val="18"/>
              </w:rPr>
              <w:t>)</w:t>
            </w:r>
          </w:p>
        </w:tc>
        <w:tc>
          <w:tcPr>
            <w:tcW w:w="60" w:type="dxa"/>
            <w:tcBorders/>
            <w:shd w:fill="FFFFFF" w:val="clear"/>
            <w:vAlign w:val="center"/>
          </w:tcPr>
          <w:p>
            <w:pPr>
              <w:pStyle w:val="TableContents"/>
              <w:bidi w:val="0"/>
              <w:spacing w:before="0" w:after="0"/>
              <w:ind w:left="0" w:right="0" w:hanging="0"/>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(926,816</w:t>
            </w:r>
          </w:p>
        </w:tc>
        <w:tc>
          <w:tcPr>
            <w:tcW w:w="97" w:type="dxa"/>
            <w:tcBorders/>
            <w:shd w:fill="FFFFFF" w:val="clear"/>
            <w:vAlign w:val="center"/>
          </w:tcPr>
          <w:p>
            <w:pPr>
              <w:pStyle w:val="TableContents"/>
              <w:bidi w:val="0"/>
              <w:spacing w:before="0" w:after="0"/>
              <w:jc w:val="left"/>
              <w:rPr>
                <w:sz w:val="18"/>
              </w:rPr>
            </w:pPr>
            <w:r>
              <w:rPr>
                <w:sz w:val="18"/>
              </w:rPr>
              <w:t>)</w:t>
            </w:r>
          </w:p>
        </w:tc>
      </w:tr>
      <w:tr>
        <w:tc>
          <w:tcPr>
            <w:tcW w:w="7777"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stockholders' equity</w:t>
            </w:r>
          </w:p>
        </w:tc>
        <w:tc>
          <w:tcPr>
            <w:tcW w:w="60" w:type="dxa"/>
            <w:tcBorders/>
            <w:shd w:fill="CCEEFF" w:val="clear"/>
            <w:vAlign w:val="center"/>
          </w:tcPr>
          <w:p>
            <w:pPr>
              <w:pStyle w:val="TableContents"/>
              <w:bidi w:val="0"/>
              <w:spacing w:before="0" w:after="283"/>
              <w:jc w:val="left"/>
            </w:pPr>
            <w: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582,134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555,447</w:t>
            </w:r>
          </w:p>
        </w:tc>
        <w:tc>
          <w:tcPr>
            <w:tcW w:w="97" w:type="dxa"/>
            <w:tcBorders/>
            <w:shd w:fill="CCEEFF" w:val="clear"/>
            <w:vAlign w:val="center"/>
          </w:tcPr>
          <w:p>
            <w:pPr>
              <w:pStyle w:val="TableContents"/>
              <w:bidi w:val="0"/>
              <w:spacing w:before="0" w:after="283"/>
              <w:jc w:val="left"/>
            </w:pPr>
            <w:r>
              <w:t> </w:t>
            </w:r>
          </w:p>
        </w:tc>
      </w:tr>
      <w:tr>
        <w:tc>
          <w:tcPr>
            <w:tcW w:w="7777"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 and stockholders' equity</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774,660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739,481</w:t>
            </w:r>
          </w:p>
        </w:tc>
        <w:tc>
          <w:tcPr>
            <w:tcW w:w="97"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pPr>
      <w:r>
        <w:t> </w:t>
      </w:r>
    </w:p>
    <w:tbl>
      <w:tblPr>
        <w:tblW w:w="9178" w:type="dxa"/>
        <w:jc w:val="left"/>
        <w:tblInd w:w="0" w:type="dxa"/>
        <w:tblLayout w:type="fixed"/>
        <w:tblCellMar>
          <w:top w:w="0" w:type="dxa"/>
          <w:left w:w="0" w:type="dxa"/>
          <w:bottom w:w="0" w:type="dxa"/>
          <w:right w:w="0" w:type="dxa"/>
        </w:tblCellMar>
      </w:tblPr>
      <w:tblGrid>
        <w:gridCol w:w="5360"/>
        <w:gridCol w:w="60"/>
        <w:gridCol w:w="140"/>
        <w:gridCol w:w="661"/>
        <w:gridCol w:w="89"/>
        <w:gridCol w:w="67"/>
        <w:gridCol w:w="140"/>
        <w:gridCol w:w="661"/>
        <w:gridCol w:w="80"/>
        <w:gridCol w:w="60"/>
        <w:gridCol w:w="125"/>
        <w:gridCol w:w="695"/>
        <w:gridCol w:w="80"/>
        <w:gridCol w:w="60"/>
        <w:gridCol w:w="125"/>
        <w:gridCol w:w="695"/>
        <w:gridCol w:w="80"/>
      </w:tblGrid>
      <w:tr>
        <w:tc>
          <w:tcPr>
            <w:tcW w:w="53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58"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8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pPr>
            <w: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94,038</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65,862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138,220</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jc w:val="left"/>
            </w:pPr>
            <w: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67,508</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136,855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93,292</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26,530</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44,928</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8,033</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18,268</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27,611</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pPr>
            <w: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pPr>
            <w: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21,170</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36,318</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pPr>
            <w: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pPr>
            <w: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11,790</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pPr>
            <w: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66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of common stock outstanding</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pPr>
            <w: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pPr>
            <w: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47,033</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41,988</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pPr>
      <w:r>
        <w:t> </w:t>
      </w:r>
    </w:p>
    <w:tbl>
      <w:tblPr>
        <w:tblW w:w="7521" w:type="dxa"/>
        <w:jc w:val="left"/>
        <w:tblInd w:w="0" w:type="dxa"/>
        <w:tblLayout w:type="fixed"/>
        <w:tblCellMar>
          <w:top w:w="0" w:type="dxa"/>
          <w:left w:w="0" w:type="dxa"/>
          <w:bottom w:w="0" w:type="dxa"/>
          <w:right w:w="0" w:type="dxa"/>
        </w:tblCellMar>
      </w:tblPr>
      <w:tblGrid>
        <w:gridCol w:w="3935"/>
        <w:gridCol w:w="60"/>
        <w:gridCol w:w="161"/>
        <w:gridCol w:w="627"/>
        <w:gridCol w:w="103"/>
        <w:gridCol w:w="77"/>
        <w:gridCol w:w="161"/>
        <w:gridCol w:w="627"/>
        <w:gridCol w:w="80"/>
        <w:gridCol w:w="60"/>
        <w:gridCol w:w="125"/>
        <w:gridCol w:w="590"/>
        <w:gridCol w:w="60"/>
        <w:gridCol w:w="60"/>
        <w:gridCol w:w="125"/>
        <w:gridCol w:w="590"/>
        <w:gridCol w:w="80"/>
      </w:tblGrid>
      <w:tr>
        <w:tc>
          <w:tcPr>
            <w:tcW w:w="39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5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5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p>
        </w:tc>
        <w:tc>
          <w:tcPr>
            <w:tcW w:w="103"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8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jc w:val="left"/>
            </w:pPr>
            <w:r>
              <w:t> </w:t>
            </w:r>
          </w:p>
        </w:tc>
        <w:tc>
          <w:tcPr>
            <w:tcW w:w="627" w:type="dxa"/>
            <w:tcBorders/>
            <w:shd w:fill="FFFFFF" w:val="clear"/>
            <w:vAlign w:val="center"/>
          </w:tcPr>
          <w:p>
            <w:pPr>
              <w:pStyle w:val="TableContents"/>
              <w:bidi w:val="0"/>
              <w:spacing w:before="0" w:after="283"/>
              <w:jc w:val="left"/>
            </w:pPr>
            <w:r>
              <w:t> </w:t>
            </w:r>
          </w:p>
        </w:tc>
        <w:tc>
          <w:tcPr>
            <w:tcW w:w="103"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jc w:val="left"/>
            </w:pPr>
            <w:r>
              <w:t> </w:t>
            </w:r>
          </w:p>
        </w:tc>
        <w:tc>
          <w:tcPr>
            <w:tcW w:w="62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gain (loss)</w:t>
            </w:r>
          </w:p>
        </w:tc>
        <w:tc>
          <w:tcPr>
            <w:tcW w:w="60"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gain (loss), net of tax</w:t>
            </w:r>
          </w:p>
        </w:tc>
        <w:tc>
          <w:tcPr>
            <w:tcW w:w="60" w:type="dxa"/>
            <w:tcBorders/>
            <w:shd w:fill="FFFFFF" w:val="clear"/>
            <w:vAlign w:val="center"/>
          </w:tcPr>
          <w:p>
            <w:pPr>
              <w:pStyle w:val="TableContents"/>
              <w:bidi w:val="0"/>
              <w:spacing w:before="0" w:after="283"/>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103"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11,285</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and Six Months Ended September 30, 2026 AND 2025</w:t>
      </w:r>
    </w:p>
    <w:p>
      <w:pPr>
        <w:pStyle w:val="TextBody"/>
        <w:bidi w:val="0"/>
        <w:spacing w:before="0" w:after="0"/>
        <w:ind w:left="144" w:right="144" w:hanging="0"/>
        <w:jc w:val="center"/>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pPr>
      <w:r>
        <w:t> </w:t>
      </w:r>
    </w:p>
    <w:tbl>
      <w:tblPr>
        <w:tblW w:w="10205" w:type="dxa"/>
        <w:jc w:val="left"/>
        <w:tblInd w:w="0" w:type="dxa"/>
        <w:tblLayout w:type="fixed"/>
        <w:tblCellMar>
          <w:top w:w="0" w:type="dxa"/>
          <w:left w:w="0" w:type="dxa"/>
          <w:bottom w:w="0" w:type="dxa"/>
          <w:right w:w="0" w:type="dxa"/>
        </w:tblCellMar>
      </w:tblPr>
      <w:tblGrid>
        <w:gridCol w:w="2103"/>
        <w:gridCol w:w="60"/>
        <w:gridCol w:w="72"/>
        <w:gridCol w:w="726"/>
        <w:gridCol w:w="80"/>
        <w:gridCol w:w="60"/>
        <w:gridCol w:w="152"/>
        <w:gridCol w:w="413"/>
        <w:gridCol w:w="60"/>
        <w:gridCol w:w="60"/>
        <w:gridCol w:w="131"/>
        <w:gridCol w:w="888"/>
        <w:gridCol w:w="80"/>
        <w:gridCol w:w="60"/>
        <w:gridCol w:w="153"/>
        <w:gridCol w:w="676"/>
        <w:gridCol w:w="80"/>
        <w:gridCol w:w="60"/>
        <w:gridCol w:w="358"/>
        <w:gridCol w:w="1114"/>
        <w:gridCol w:w="80"/>
        <w:gridCol w:w="60"/>
        <w:gridCol w:w="170"/>
        <w:gridCol w:w="1033"/>
        <w:gridCol w:w="80"/>
        <w:gridCol w:w="60"/>
        <w:gridCol w:w="189"/>
        <w:gridCol w:w="1059"/>
        <w:gridCol w:w="88"/>
      </w:tblGrid>
      <w:tr>
        <w:tc>
          <w:tcPr>
            <w:tcW w:w="210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9"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2"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8" w:type="dxa"/>
            <w:gridSpan w:val="2"/>
            <w:tcBorders/>
            <w:shd w:fill="FFFFFF" w:val="cle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Total</w:t>
            </w:r>
          </w:p>
        </w:tc>
        <w:tc>
          <w:tcPr>
            <w:tcW w:w="88" w:type="dxa"/>
            <w:tcBorders/>
            <w:shd w:fill="FFFF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Comprehensive Income (Loss)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Stockholders' Equity</w:t>
            </w:r>
          </w:p>
        </w:tc>
        <w:tc>
          <w:tcPr>
            <w:tcW w:w="88" w:type="dxa"/>
            <w:tcBorders/>
            <w:shd w:fill="FFFFFF" w:val="clear"/>
            <w:vAlign w:val="center"/>
          </w:tcPr>
          <w:p>
            <w:pPr>
              <w:pStyle w:val="TableContents"/>
              <w:bidi w:val="0"/>
              <w:spacing w:before="0" w:after="283"/>
              <w:jc w:val="left"/>
            </w:pPr>
            <w:r>
              <w:t> </w:t>
            </w:r>
          </w:p>
        </w:tc>
      </w:tr>
      <w:tr>
        <w:tc>
          <w:tcPr>
            <w:tcW w:w="21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2026</w:t>
            </w:r>
          </w:p>
        </w:tc>
        <w:tc>
          <w:tcPr>
            <w:tcW w:w="60" w:type="dxa"/>
            <w:tcBorders/>
            <w:shd w:fill="CCEEFF" w:val="clear"/>
            <w:vAlign w:val="center"/>
          </w:tcPr>
          <w:p>
            <w:pPr>
              <w:pStyle w:val="TableContents"/>
              <w:bidi w:val="0"/>
              <w:spacing w:before="0" w:after="283"/>
              <w:jc w:val="left"/>
            </w:pPr>
            <w: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1,481,476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(926,816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555,447</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4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8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67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ind w:left="0" w:right="0" w:hanging="0"/>
              <w:jc w:val="left"/>
            </w:pPr>
            <w:r>
              <w:t> </w:t>
            </w:r>
          </w:p>
        </w:tc>
        <w:tc>
          <w:tcPr>
            <w:tcW w:w="111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103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ind w:left="0" w:right="0" w:hanging="0"/>
              <w:jc w:val="left"/>
            </w:pPr>
            <w:r>
              <w:t> </w:t>
            </w:r>
          </w:p>
        </w:tc>
        <w:tc>
          <w:tcPr>
            <w:tcW w:w="1059" w:type="dxa"/>
            <w:tcBorders/>
            <w:shd w:fill="FFFFFF" w:val="clear"/>
            <w:vAlign w:val="center"/>
          </w:tcPr>
          <w:p>
            <w:pPr>
              <w:pStyle w:val="TableContents"/>
              <w:bidi w:val="0"/>
              <w:spacing w:before="0" w:after="283"/>
              <w:ind w:left="0" w:right="0" w:hanging="0"/>
              <w:jc w:val="right"/>
            </w:pPr>
            <w:r>
              <w:t>—</w:t>
            </w:r>
          </w:p>
        </w:tc>
        <w:tc>
          <w:tcPr>
            <w:tcW w:w="88" w:type="dxa"/>
            <w:tcBorders/>
            <w:shd w:fill="FFFFFF" w:val="clear"/>
            <w:vAlign w:val="center"/>
          </w:tcPr>
          <w:p>
            <w:pPr>
              <w:pStyle w:val="TableContents"/>
              <w:bidi w:val="0"/>
              <w:spacing w:before="0" w:after="283"/>
              <w:jc w:val="left"/>
            </w:pPr>
            <w:r>
              <w:t> </w:t>
            </w:r>
          </w:p>
        </w:tc>
      </w:tr>
      <w:tr>
        <w:tc>
          <w:tcPr>
            <w:tcW w:w="210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726"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41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8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67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ind w:left="0" w:right="0" w:hanging="0"/>
              <w:jc w:val="left"/>
            </w:pPr>
            <w:r>
              <w:t> </w:t>
            </w:r>
          </w:p>
        </w:tc>
        <w:tc>
          <w:tcPr>
            <w:tcW w:w="111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103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ind w:left="0" w:right="0" w:hanging="0"/>
              <w:jc w:val="left"/>
            </w:pPr>
            <w: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5,264</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41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8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67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ind w:left="0" w:right="0" w:hanging="0"/>
              <w:jc w:val="left"/>
            </w:pPr>
            <w:r>
              <w:t> </w:t>
            </w:r>
          </w:p>
        </w:tc>
        <w:tc>
          <w:tcPr>
            <w:tcW w:w="111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1033"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ind w:left="0" w:right="0" w:hanging="0"/>
              <w:jc w:val="left"/>
            </w:pPr>
            <w: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88" w:type="dxa"/>
            <w:tcBorders/>
            <w:shd w:fill="FFFFFF" w:val="clear"/>
            <w:vAlign w:val="center"/>
          </w:tcPr>
          <w:p>
            <w:pPr>
              <w:pStyle w:val="TableContents"/>
              <w:bidi w:val="0"/>
              <w:spacing w:before="0" w:after="283"/>
              <w:jc w:val="left"/>
            </w:pPr>
            <w:r>
              <w:t> </w:t>
            </w:r>
          </w:p>
        </w:tc>
      </w:tr>
      <w:tr>
        <w:tc>
          <w:tcPr>
            <w:tcW w:w="210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726"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41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888"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67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ind w:left="0" w:right="0" w:hanging="0"/>
              <w:jc w:val="left"/>
            </w:pPr>
            <w:r>
              <w:t> </w:t>
            </w:r>
          </w:p>
        </w:tc>
        <w:tc>
          <w:tcPr>
            <w:tcW w:w="11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1033"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ind w:left="0" w:right="0" w:hanging="0"/>
              <w:jc w:val="left"/>
            </w:pPr>
            <w: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pPr>
            <w: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9,490</w:t>
            </w:r>
          </w:p>
        </w:tc>
        <w:tc>
          <w:tcPr>
            <w:tcW w:w="88" w:type="dxa"/>
            <w:tcBorders/>
            <w:shd w:fill="FFFFFF" w:val="clear"/>
            <w:vAlign w:val="center"/>
          </w:tcPr>
          <w:p>
            <w:pPr>
              <w:pStyle w:val="TableContents"/>
              <w:bidi w:val="0"/>
              <w:spacing w:before="0" w:after="283"/>
              <w:jc w:val="left"/>
            </w:pPr>
            <w:r>
              <w:t> </w:t>
            </w:r>
          </w:p>
        </w:tc>
      </w:tr>
      <w:tr>
        <w:tc>
          <w:tcPr>
            <w:tcW w:w="21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2026</w:t>
            </w:r>
          </w:p>
        </w:tc>
        <w:tc>
          <w:tcPr>
            <w:tcW w:w="60" w:type="dxa"/>
            <w:tcBorders/>
            <w:shd w:fill="CCEEFF" w:val="clear"/>
            <w:vAlign w:val="center"/>
          </w:tcPr>
          <w:p>
            <w:pPr>
              <w:pStyle w:val="TableContents"/>
              <w:bidi w:val="0"/>
              <w:spacing w:before="0" w:after="283"/>
              <w:jc w:val="left"/>
            </w:pPr>
            <w: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1,487,303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(917,326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572,474</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pPr>
            <w:r>
              <w:t> </w:t>
            </w:r>
          </w:p>
        </w:tc>
      </w:tr>
      <w:tr>
        <w:tc>
          <w:tcPr>
            <w:tcW w:w="2103"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Issuance of common stock – ESPP</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jc w:val="left"/>
            </w:pPr>
            <w:r>
              <w:t> </w:t>
            </w:r>
          </w:p>
        </w:tc>
        <w:tc>
          <w:tcPr>
            <w:tcW w:w="88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jc w:val="left"/>
            </w:pPr>
            <w:r>
              <w:t> </w:t>
            </w:r>
          </w:p>
        </w:tc>
        <w:tc>
          <w:tcPr>
            <w:tcW w:w="6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6" w:type="dxa"/>
            <w:tcBorders/>
            <w:shd w:fill="FFFFFF" w:val="clear"/>
            <w:vAlign w:val="center"/>
          </w:tcPr>
          <w:p>
            <w:pPr>
              <w:pStyle w:val="TableContents"/>
              <w:bidi w:val="0"/>
              <w:spacing w:before="0" w:after="283"/>
              <w:jc w:val="right"/>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6,517</w:t>
            </w:r>
          </w:p>
        </w:tc>
        <w:tc>
          <w:tcPr>
            <w:tcW w:w="88" w:type="dxa"/>
            <w:tcBorders/>
            <w:shd w:fill="FFFFFF" w:val="clear"/>
            <w:vAlign w:val="center"/>
          </w:tcPr>
          <w:p>
            <w:pPr>
              <w:pStyle w:val="TableContents"/>
              <w:bidi w:val="0"/>
              <w:spacing w:before="0" w:after="283"/>
              <w:jc w:val="left"/>
            </w:pPr>
            <w:r>
              <w:t> </w:t>
            </w:r>
          </w:p>
        </w:tc>
      </w:tr>
      <w:tr>
        <w:tc>
          <w:tcPr>
            <w:tcW w:w="2103"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jc w:val="left"/>
            </w:pPr>
            <w:r>
              <w:t> </w:t>
            </w:r>
          </w:p>
        </w:tc>
        <w:tc>
          <w:tcPr>
            <w:tcW w:w="88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jc w:val="left"/>
            </w:pPr>
            <w:r>
              <w:t> </w:t>
            </w:r>
          </w:p>
        </w:tc>
        <w:tc>
          <w:tcPr>
            <w:tcW w:w="6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111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0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6" w:type="dxa"/>
            <w:tcBorders/>
            <w:shd w:fill="FFFFFF" w:val="clear"/>
            <w:vAlign w:val="center"/>
          </w:tcPr>
          <w:p>
            <w:pPr>
              <w:pStyle w:val="TableContents"/>
              <w:bidi w:val="0"/>
              <w:spacing w:before="0" w:after="283"/>
              <w:jc w:val="right"/>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(526</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2103"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26" w:type="dxa"/>
            <w:tcBorders>
              <w:bottom w:val="single" w:sz="2" w:space="0" w:color="000000"/>
            </w:tcBorders>
            <w:shd w:fill="CCEEFF" w:val="clear"/>
            <w:tcMar>
              <w:bottom w:w="28" w:type="dxa"/>
            </w:tcMar>
            <w:vAlign w:val="center"/>
          </w:tcPr>
          <w:p>
            <w:pPr>
              <w:pStyle w:val="TableContents"/>
              <w:bidi w:val="0"/>
              <w:spacing w:before="0" w:after="0"/>
              <w:jc w:val="right"/>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1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3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5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2,999</w:t>
            </w:r>
          </w:p>
        </w:tc>
        <w:tc>
          <w:tcPr>
            <w:tcW w:w="88" w:type="dxa"/>
            <w:tcBorders/>
            <w:shd w:fill="CCEEFF" w:val="clear"/>
            <w:vAlign w:val="center"/>
          </w:tcPr>
          <w:p>
            <w:pPr>
              <w:pStyle w:val="TableContents"/>
              <w:bidi w:val="0"/>
              <w:spacing w:before="0" w:after="283"/>
              <w:jc w:val="left"/>
            </w:pPr>
            <w:r>
              <w:t> </w:t>
            </w:r>
          </w:p>
        </w:tc>
      </w:tr>
      <w:tr>
        <w:tc>
          <w:tcPr>
            <w:tcW w:w="21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2026</w:t>
            </w:r>
          </w:p>
        </w:tc>
        <w:tc>
          <w:tcPr>
            <w:tcW w:w="60" w:type="dxa"/>
            <w:tcBorders/>
            <w:shd w:fill="FFFFFF" w:val="clear"/>
            <w:vAlign w:val="center"/>
          </w:tcPr>
          <w:p>
            <w:pPr>
              <w:pStyle w:val="TableContents"/>
              <w:bidi w:val="0"/>
              <w:spacing w:before="0" w:after="283"/>
              <w:ind w:left="0" w:right="0" w:hanging="0"/>
              <w:jc w:val="left"/>
            </w:pPr>
            <w:r>
              <w:t> </w:t>
            </w:r>
          </w:p>
        </w:tc>
        <w:tc>
          <w:tcPr>
            <w:tcW w:w="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72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48,869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1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1,494,490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(914,327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582,134</w:t>
            </w:r>
          </w:p>
        </w:tc>
        <w:tc>
          <w:tcPr>
            <w:tcW w:w="88"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119"/>
        <w:gridCol w:w="60"/>
        <w:gridCol w:w="72"/>
        <w:gridCol w:w="727"/>
        <w:gridCol w:w="60"/>
        <w:gridCol w:w="60"/>
        <w:gridCol w:w="152"/>
        <w:gridCol w:w="413"/>
        <w:gridCol w:w="60"/>
        <w:gridCol w:w="60"/>
        <w:gridCol w:w="131"/>
        <w:gridCol w:w="889"/>
        <w:gridCol w:w="80"/>
        <w:gridCol w:w="60"/>
        <w:gridCol w:w="154"/>
        <w:gridCol w:w="676"/>
        <w:gridCol w:w="80"/>
        <w:gridCol w:w="60"/>
        <w:gridCol w:w="358"/>
        <w:gridCol w:w="1115"/>
        <w:gridCol w:w="80"/>
        <w:gridCol w:w="60"/>
        <w:gridCol w:w="145"/>
        <w:gridCol w:w="1058"/>
        <w:gridCol w:w="80"/>
        <w:gridCol w:w="60"/>
        <w:gridCol w:w="189"/>
        <w:gridCol w:w="1059"/>
        <w:gridCol w:w="88"/>
      </w:tblGrid>
      <w:tr>
        <w:tc>
          <w:tcPr>
            <w:tcW w:w="211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3" w:type="dxa"/>
            <w:gridSpan w:val="2"/>
            <w:tcBorders/>
            <w:shd w:fill="FFFFFF" w:val="clear"/>
            <w:vAlign w:val="center"/>
          </w:tcPr>
          <w:p>
            <w:pPr>
              <w:pStyle w:val="TableContents"/>
              <w:bidi w:val="0"/>
              <w:spacing w:before="0" w:after="283"/>
              <w:jc w:val="cente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20"/>
              </w:rPr>
              <w:t>Total</w:t>
            </w:r>
          </w:p>
        </w:tc>
        <w:tc>
          <w:tcPr>
            <w:tcW w:w="88" w:type="dxa"/>
            <w:tcBorders/>
            <w:shd w:fill="FFFF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65"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3"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Comprehensive Income (Loss)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Stockholders' Equity</w:t>
            </w:r>
          </w:p>
        </w:tc>
        <w:tc>
          <w:tcPr>
            <w:tcW w:w="88" w:type="dxa"/>
            <w:tcBorders/>
            <w:shd w:fill="FFFFFF" w:val="clear"/>
            <w:vAlign w:val="center"/>
          </w:tcPr>
          <w:p>
            <w:pPr>
              <w:pStyle w:val="TableContents"/>
              <w:bidi w:val="0"/>
              <w:spacing w:before="0" w:after="283"/>
              <w:jc w:val="left"/>
            </w:pPr>
            <w:r>
              <w:t> </w:t>
            </w:r>
          </w:p>
        </w:tc>
      </w:tr>
      <w:t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60" w:type="dxa"/>
            <w:tcBorders/>
            <w:shd w:fill="CCEEFF" w:val="clear"/>
            <w:vAlign w:val="center"/>
          </w:tcPr>
          <w:p>
            <w:pPr>
              <w:pStyle w:val="TableContents"/>
              <w:bidi w:val="0"/>
              <w:spacing w:before="0" w:after="283"/>
              <w:jc w:val="left"/>
            </w:pPr>
            <w: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39,888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1,259,540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197,114</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shd w:fill="FFFFFF" w:val="clear"/>
            <w:vAlign w:val="center"/>
          </w:tcPr>
          <w:p>
            <w:pPr>
              <w:pStyle w:val="TableContents"/>
              <w:bidi w:val="0"/>
              <w:spacing w:before="0" w:after="0"/>
              <w:ind w:left="0" w:right="0" w:hanging="0"/>
              <w:jc w:val="left"/>
            </w:pPr>
            <w:r>
              <w:t> </w:t>
            </w:r>
          </w:p>
        </w:tc>
        <w:tc>
          <w:tcPr>
            <w:tcW w:w="1059" w:type="dxa"/>
            <w:tcBorders/>
            <w:shd w:fill="FFFFFF" w:val="clear"/>
            <w:vAlign w:val="center"/>
          </w:tcPr>
          <w:p>
            <w:pPr>
              <w:pStyle w:val="TableContents"/>
              <w:bidi w:val="0"/>
              <w:spacing w:before="0" w:after="0"/>
              <w:jc w:val="right"/>
            </w:pPr>
            <w:r>
              <w:t>—</w:t>
            </w:r>
          </w:p>
        </w:tc>
        <w:tc>
          <w:tcPr>
            <w:tcW w:w="88" w:type="dxa"/>
            <w:tcBorders/>
            <w:shd w:fill="FFFFFF" w:val="clear"/>
            <w:vAlign w:val="center"/>
          </w:tcPr>
          <w:p>
            <w:pPr>
              <w:pStyle w:val="TableContents"/>
              <w:bidi w:val="0"/>
              <w:spacing w:before="0" w:after="283"/>
              <w:jc w:val="left"/>
            </w:pPr>
            <w:r>
              <w:t> </w:t>
            </w:r>
          </w:p>
        </w:tc>
      </w:tr>
      <w:tr>
        <w:tc>
          <w:tcPr>
            <w:tcW w:w="211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727" w:type="dxa"/>
            <w:tcBorders/>
            <w:shd w:fill="CCEEFF" w:val="cle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41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ind w:left="0" w:right="0" w:hanging="0"/>
              <w:jc w:val="left"/>
            </w:pPr>
            <w:r>
              <w:t> </w:t>
            </w:r>
          </w:p>
        </w:tc>
        <w:tc>
          <w:tcPr>
            <w:tcW w:w="676"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ind w:left="0" w:right="0" w:hanging="0"/>
              <w:jc w:val="left"/>
            </w:pPr>
            <w:r>
              <w:t> </w:t>
            </w:r>
          </w:p>
        </w:tc>
        <w:tc>
          <w:tcPr>
            <w:tcW w:w="1058"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ind w:left="0" w:right="0" w:hanging="0"/>
              <w:jc w:val="left"/>
            </w:pPr>
            <w: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4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ind w:left="0" w:right="0" w:hanging="0"/>
              <w:jc w:val="left"/>
            </w:pPr>
            <w:r>
              <w:t> </w:t>
            </w:r>
          </w:p>
        </w:tc>
        <w:tc>
          <w:tcPr>
            <w:tcW w:w="67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1058"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ind w:left="0" w:right="0" w:hanging="0"/>
              <w:jc w:val="left"/>
            </w:pPr>
            <w: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8" w:type="dxa"/>
            <w:tcBorders/>
            <w:shd w:fill="FFFFFF" w:val="clear"/>
            <w:vAlign w:val="center"/>
          </w:tcPr>
          <w:p>
            <w:pPr>
              <w:pStyle w:val="TableContents"/>
              <w:bidi w:val="0"/>
              <w:spacing w:before="0" w:after="283"/>
              <w:jc w:val="left"/>
            </w:pPr>
            <w:r>
              <w:t> </w:t>
            </w:r>
          </w:p>
        </w:tc>
      </w:tr>
      <w:tr>
        <w:tc>
          <w:tcPr>
            <w:tcW w:w="211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equity offering, net of offering expenses</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7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124,577</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27" w:type="dxa"/>
            <w:tcBorders/>
            <w:shd w:fill="FFFFFF" w:val="clear"/>
            <w:vAlign w:val="center"/>
          </w:tcPr>
          <w:p>
            <w:pPr>
              <w:pStyle w:val="TableContents"/>
              <w:bidi w:val="0"/>
              <w:spacing w:before="0" w:after="283"/>
              <w:ind w:left="0" w:right="0" w:hanging="0"/>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41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88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ind w:left="0" w:right="0" w:hanging="0"/>
              <w:jc w:val="left"/>
            </w:pPr>
            <w:r>
              <w:t> </w:t>
            </w:r>
          </w:p>
        </w:tc>
        <w:tc>
          <w:tcPr>
            <w:tcW w:w="67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1058"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ind w:left="0" w:right="0" w:hanging="0"/>
              <w:jc w:val="left"/>
            </w:pPr>
            <w: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0"/>
              <w:ind w:left="0" w:right="0" w:hanging="0"/>
              <w:jc w:val="left"/>
            </w:pPr>
            <w:r>
              <w:t> </w:t>
            </w:r>
          </w:p>
        </w:tc>
        <w:tc>
          <w:tcPr>
            <w:tcW w:w="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w:t>
            </w:r>
          </w:p>
        </w:tc>
        <w:tc>
          <w:tcPr>
            <w:tcW w:w="88" w:type="dxa"/>
            <w:tcBorders/>
            <w:shd w:fill="CCEEFF" w:val="clear"/>
            <w:vAlign w:val="center"/>
          </w:tcPr>
          <w:p>
            <w:pPr>
              <w:pStyle w:val="TableContents"/>
              <w:bidi w:val="0"/>
              <w:spacing w:before="0" w:after="0"/>
              <w:jc w:val="left"/>
            </w:pPr>
            <w:r>
              <w:t> </w:t>
            </w:r>
          </w:p>
        </w:tc>
      </w:tr>
      <w:tr>
        <w:tc>
          <w:tcPr>
            <w:tcW w:w="21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FFFFFF" w:val="clear"/>
            <w:vAlign w:val="center"/>
          </w:tcPr>
          <w:p>
            <w:pPr>
              <w:pStyle w:val="TableContents"/>
              <w:bidi w:val="0"/>
              <w:spacing w:before="0" w:after="283"/>
              <w:jc w:val="left"/>
            </w:pPr>
            <w:r>
              <w:t> </w:t>
            </w:r>
          </w:p>
        </w:tc>
        <w:tc>
          <w:tcPr>
            <w:tcW w:w="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1,388,948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(1,053,901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333,116</w:t>
            </w:r>
          </w:p>
        </w:tc>
        <w:tc>
          <w:tcPr>
            <w:tcW w:w="88" w:type="dxa"/>
            <w:tcBorders/>
            <w:shd w:fill="FFFFFF" w:val="clear"/>
            <w:vAlign w:val="center"/>
          </w:tcPr>
          <w:p>
            <w:pPr>
              <w:pStyle w:val="TableContents"/>
              <w:bidi w:val="0"/>
              <w:spacing w:before="0" w:after="283"/>
              <w:jc w:val="left"/>
            </w:pPr>
            <w:r>
              <w:t> </w:t>
            </w:r>
          </w:p>
        </w:tc>
      </w:tr>
      <w:tr>
        <w:tc>
          <w:tcPr>
            <w:tcW w:w="2119"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Exercise of stock options</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7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pPr>
            <w:r>
              <w:t>—</w:t>
            </w:r>
          </w:p>
        </w:tc>
        <w:tc>
          <w:tcPr>
            <w:tcW w:w="88" w:type="dxa"/>
            <w:tcBorders/>
            <w:shd w:fill="FFFFFF" w:val="clear"/>
            <w:vAlign w:val="center"/>
          </w:tcPr>
          <w:p>
            <w:pPr>
              <w:pStyle w:val="TableContents"/>
              <w:bidi w:val="0"/>
              <w:spacing w:before="0" w:after="283"/>
              <w:jc w:val="left"/>
            </w:pPr>
            <w:r>
              <w:t> </w:t>
            </w:r>
          </w:p>
        </w:tc>
      </w:tr>
      <w:tr>
        <w:tc>
          <w:tcPr>
            <w:tcW w:w="2119"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 ESPP</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7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3,766</w:t>
            </w:r>
          </w:p>
        </w:tc>
        <w:tc>
          <w:tcPr>
            <w:tcW w:w="88" w:type="dxa"/>
            <w:tcBorders/>
            <w:shd w:fill="FFFFFF" w:val="clear"/>
            <w:vAlign w:val="center"/>
          </w:tcPr>
          <w:p>
            <w:pPr>
              <w:pStyle w:val="TableContents"/>
              <w:bidi w:val="0"/>
              <w:spacing w:before="0" w:after="283"/>
              <w:jc w:val="left"/>
            </w:pPr>
            <w:r>
              <w:t> </w:t>
            </w:r>
          </w:p>
        </w:tc>
      </w:tr>
      <w:tr>
        <w:tc>
          <w:tcPr>
            <w:tcW w:w="2119"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jc w:val="left"/>
            </w:pPr>
            <w: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jc w:val="left"/>
            </w:pPr>
            <w:r>
              <w:t> </w:t>
            </w:r>
          </w:p>
        </w:tc>
        <w:tc>
          <w:tcPr>
            <w:tcW w:w="67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8"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1058"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727" w:type="dxa"/>
            <w:tcBorders/>
            <w:shd w:fill="FFFFFF" w:val="clear"/>
            <w:vAlign w:val="center"/>
          </w:tcPr>
          <w:p>
            <w:pPr>
              <w:pStyle w:val="TableContents"/>
              <w:bidi w:val="0"/>
              <w:spacing w:before="0" w:after="283"/>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889"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jc w:val="left"/>
            </w:pPr>
            <w:r>
              <w:t> </w:t>
            </w:r>
          </w:p>
        </w:tc>
        <w:tc>
          <w:tcPr>
            <w:tcW w:w="676"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8"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1058"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119"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27" w:type="dxa"/>
            <w:tcBorders>
              <w:bottom w:val="single" w:sz="2" w:space="0" w:color="000000"/>
            </w:tcBorders>
            <w:shd w:fill="CCEEFF" w:val="clear"/>
            <w:tcMar>
              <w:bottom w:w="28" w:type="dxa"/>
            </w:tcMar>
            <w:vAlign w:val="center"/>
          </w:tcPr>
          <w:p>
            <w:pPr>
              <w:pStyle w:val="TableContents"/>
              <w:bidi w:val="0"/>
              <w:spacing w:before="0" w:after="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13"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9"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5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5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4,750</w:t>
            </w:r>
          </w:p>
        </w:tc>
        <w:tc>
          <w:tcPr>
            <w:tcW w:w="88" w:type="dxa"/>
            <w:tcBorders/>
            <w:shd w:fill="CCEEFF" w:val="clear"/>
            <w:vAlign w:val="center"/>
          </w:tcPr>
          <w:p>
            <w:pPr>
              <w:pStyle w:val="TableContents"/>
              <w:bidi w:val="0"/>
              <w:spacing w:before="0" w:after="283"/>
              <w:jc w:val="left"/>
            </w:pPr>
            <w:r>
              <w:t> </w:t>
            </w:r>
          </w:p>
        </w:tc>
      </w:tr>
      <w:tr>
        <w:tc>
          <w:tcPr>
            <w:tcW w:w="21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60" w:type="dxa"/>
            <w:tcBorders/>
            <w:shd w:fill="FFFFFF" w:val="clear"/>
            <w:vAlign w:val="center"/>
          </w:tcPr>
          <w:p>
            <w:pPr>
              <w:pStyle w:val="TableContents"/>
              <w:bidi w:val="0"/>
              <w:spacing w:before="0" w:after="283"/>
              <w:ind w:left="0" w:right="0" w:hanging="0"/>
              <w:jc w:val="left"/>
            </w:pPr>
            <w:r>
              <w:t> </w:t>
            </w:r>
          </w:p>
        </w:tc>
        <w:tc>
          <w:tcPr>
            <w:tcW w:w="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72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45,590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1,393,266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(1,049,151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342,182</w:t>
            </w:r>
          </w:p>
        </w:tc>
        <w:tc>
          <w:tcPr>
            <w:tcW w:w="88"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pPr>
      <w:r>
        <w:t> </w:t>
      </w:r>
    </w:p>
    <w:tbl>
      <w:tblPr>
        <w:tblW w:w="8803" w:type="dxa"/>
        <w:jc w:val="left"/>
        <w:tblInd w:w="0" w:type="dxa"/>
        <w:tblLayout w:type="fixed"/>
        <w:tblCellMar>
          <w:top w:w="0" w:type="dxa"/>
          <w:left w:w="0" w:type="dxa"/>
          <w:bottom w:w="0" w:type="dxa"/>
          <w:right w:w="0" w:type="dxa"/>
        </w:tblCellMar>
      </w:tblPr>
      <w:tblGrid>
        <w:gridCol w:w="5900"/>
        <w:gridCol w:w="60"/>
        <w:gridCol w:w="194"/>
        <w:gridCol w:w="1079"/>
        <w:gridCol w:w="124"/>
        <w:gridCol w:w="93"/>
        <w:gridCol w:w="194"/>
        <w:gridCol w:w="1079"/>
        <w:gridCol w:w="80"/>
      </w:tblGrid>
      <w:tr>
        <w:tc>
          <w:tcPr>
            <w:tcW w:w="5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equity method investments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non-cash items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 and liability accounts: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6,305</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48,720</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10,612</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(14,365</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ind w:left="0" w:right="0" w:hanging="0"/>
              <w:jc w:val="left"/>
            </w:pPr>
            <w: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other assets</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(14,485</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employee stock options and ESPP</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public equity offering, net of offering expenses</w:t>
            </w:r>
          </w:p>
        </w:tc>
        <w:tc>
          <w:tcPr>
            <w:tcW w:w="60"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124,819</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cash equivalents and restricted cash</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34,349</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ind w:left="0" w:right="0" w:hanging="0"/>
              <w:jc w:val="left"/>
            </w:pPr>
            <w: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133,375</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147,554</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85,381</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181,903</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218,756</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7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schedule of cash flow information:</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7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lease obligations</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to settle 401k match liabilities</w:t>
            </w:r>
          </w:p>
        </w:tc>
        <w:tc>
          <w:tcPr>
            <w:tcW w:w="60" w:type="dxa"/>
            <w:tcBorders/>
            <w:shd w:fill="CCEEFF" w:val="clear"/>
            <w:vAlign w:val="center"/>
          </w:tcPr>
          <w:p>
            <w:pPr>
              <w:pStyle w:val="TableContents"/>
              <w:bidi w:val="0"/>
              <w:spacing w:before="0" w:after="283"/>
              <w:ind w:left="0" w:right="0" w:hanging="0"/>
              <w:jc w:val="left"/>
            </w:pPr>
            <w: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 w:hAnsi="Times New Roman"/>
          <w:caps w:val="false"/>
          <w:smallCaps w:val="false"/>
          <w:sz w:val="20"/>
        </w:rPr>
        <w:t>American Superconductor Corporation (together with its subsidiaries, “AMSC®” or the “Company”) was founded on </w:t>
      </w:r>
      <w:r>
        <w:rPr>
          <w:rStyle w:val="Emphasis"/>
          <w:rFonts w:ascii="Times New Roman" w:hAnsi="Times New Roman"/>
          <w:caps w:val="false"/>
          <w:smallCaps w:val="false"/>
          <w:sz w:val="20"/>
        </w:rPr>
        <w:t xml:space="preserve"> April 9,</w:t>
      </w:r>
      <w:r>
        <w:rPr>
          <w:rFonts w:ascii="Times New Roman" w:hAnsi="Times New Roman"/>
          <w:caps w:val="false"/>
          <w:smallCaps w:val="false"/>
          <w:sz w:val="20"/>
        </w:rPr>
        <w:t> </w:t>
      </w:r>
      <w:r>
        <w:rPr>
          <w:rStyle w:val="Emphasis"/>
          <w:rFonts w:ascii="Times New Roman" w:hAnsi="Times New Roman"/>
          <w:caps w:val="false"/>
          <w:smallCaps w:val="false"/>
          <w:sz w:val="20"/>
        </w:rPr>
        <w:t>1987.</w:t>
      </w:r>
      <w:r>
        <w:rPr>
          <w:rFonts w:ascii="Times New Roman" w:hAnsi="Times New Roman"/>
          <w:caps w:val="false"/>
          <w:smallCaps w:val="false"/>
          <w:sz w:val="20"/>
        </w:rPr>
        <w:t> The Company is a leading provider of power control solutions that harmonize an increasingly complex energy system and enable customers to scale their operations without added complexity or size.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All significant intercompany accounts and transactions are eliminated in consolidation. Investments in entities in which we do </w:t>
      </w:r>
      <w:r>
        <w:rPr>
          <w:rStyle w:val="Emphasis"/>
          <w:rFonts w:ascii="Times New Roman;Times;serif" w:hAnsi="Times New Roman;Times;serif"/>
          <w:sz w:val="20"/>
        </w:rPr>
        <w:t>not</w:t>
      </w:r>
      <w:r>
        <w:rPr>
          <w:rFonts w:ascii="Times New Roman;Times;serif" w:hAnsi="Times New Roman;Times;serif"/>
          <w:sz w:val="20"/>
        </w:rPr>
        <w:t xml:space="preserve"> have a controlling interest are accounted for under the equity method of accounting.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xml:space="preserve"> and the financial position at </w:t>
      </w:r>
      <w:r>
        <w:rPr>
          <w:rStyle w:val="Emphasis"/>
          <w:rFonts w:ascii="Times New Roman;Times;serif" w:hAnsi="Times New Roman;Times;serif"/>
          <w:sz w:val="20"/>
        </w:rPr>
        <w:t>September 30, 2026</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consolidated financial statements for the year ended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filed with the SEC on </w:t>
      </w:r>
      <w:r>
        <w:rPr>
          <w:rStyle w:val="Emphasis"/>
          <w:rFonts w:ascii="Times New Roman;Times;serif" w:hAnsi="Times New Roman;Times;serif"/>
          <w:sz w:val="20"/>
        </w:rPr>
        <w:t>May 27, 2026</w:t>
      </w:r>
      <w:r>
        <w:rPr>
          <w:rFonts w:ascii="Times New Roman;Times;serif" w:hAnsi="Times New Roman;Times;serif"/>
          <w:sz w:val="20"/>
        </w:rPr>
        <w:t>.</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both"/>
      </w:pPr>
      <w:r>
        <w:rPr>
          <w:rStyle w:val="Emphasis"/>
          <w:rFonts w:ascii="Times New Roman;Times;serif" w:hAnsi="Times New Roman;Times;serif"/>
          <w:b/>
          <w:sz w:val="20"/>
        </w:rPr>
        <w:t>2.</w:t>
      </w:r>
      <w:r>
        <w:rPr>
          <w:rFonts w:ascii="Times New Roman;Times;serif" w:hAnsi="Times New Roman;Times;serif"/>
          <w:b/>
          <w:sz w:val="20"/>
        </w:rPr>
        <w:t xml:space="preserve"> Acquisition</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Acquisition of Comtrafo</w:t>
      </w:r>
    </w:p>
    <w:p>
      <w:pPr>
        <w:pStyle w:val="TextBody"/>
        <w:bidi w:val="0"/>
        <w:spacing w:before="0" w:after="0"/>
        <w:ind w:left="0" w:right="0" w:hanging="0"/>
        <w:jc w:val="both"/>
      </w:pPr>
      <w:r>
        <w:t> </w:t>
      </w:r>
    </w:p>
    <w:p>
      <w:pPr>
        <w:pStyle w:val="TextBody"/>
        <w:bidi w:val="0"/>
        <w:spacing w:before="0" w:after="0"/>
        <w:ind w:left="0" w:right="0" w:firstLine="720"/>
        <w:jc w:val="both"/>
      </w:pPr>
      <w:r>
        <w:rPr>
          <w:rFonts w:ascii="Times New Roman;Times;serif" w:hAnsi="Times New Roman;Times;serif"/>
          <w:sz w:val="20"/>
        </w:rPr>
        <w:t xml:space="preserve">On </w:t>
      </w:r>
      <w:r>
        <w:rPr>
          <w:rStyle w:val="Emphasis"/>
          <w:rFonts w:ascii="Times New Roman;Times;serif" w:hAnsi="Times New Roman;Times;serif"/>
          <w:sz w:val="20"/>
        </w:rPr>
        <w:t>December 5, 2025 (</w:t>
      </w:r>
      <w:r>
        <w:rPr>
          <w:rFonts w:ascii="Times New Roman;Times;serif" w:hAnsi="Times New Roman;Times;serif"/>
          <w:sz w:val="20"/>
        </w:rPr>
        <w:t xml:space="preserve">the "Comtrafo Acquisition Date"), the Company entered into a Stock Exchange Agreement (the “Stock Exchange Agreement”) with the selling stockholders named therein. Pursuant to the terms of the Stock Exchange Agreement and concurrently with entering into such agreement, the Company acquired all of the issued and outstanding shares of capital stock of Comtrafo Indústria de Transformadores Elétricos S.A. ("Comtrafo") (the "Comtrafo Acquisition"). Additionally, the Company has agreed to pay the selling stockholders of Comtrafo an additional amount up to 382.5 million Brazilian Real of cash upon the achievement of specified earnings before interest, taxes, depreciation, and amortization ("EBITDA") objectives during the </w:t>
      </w:r>
      <w:r>
        <w:rPr>
          <w:rStyle w:val="Emphasis"/>
          <w:rFonts w:ascii="Times New Roman;Times;serif" w:hAnsi="Times New Roman;Times;serif"/>
          <w:sz w:val="20"/>
        </w:rPr>
        <w:t>three</w:t>
      </w:r>
      <w:r>
        <w:rPr>
          <w:rFonts w:ascii="Times New Roman;Times;serif" w:hAnsi="Times New Roman;Times;serif"/>
          <w:sz w:val="20"/>
        </w:rPr>
        <w:t xml:space="preserve"> years following the Comtrafo Acquisition Date as set forth in the Stock Exchange Agreement. This contingent consideration is recorded as a liability based on a Monte Carlo simulation to determine fair value at the time of issuance and on a recurring basis at each reporting period. Comtrafo is a Brazil-based manufacturer of large power and distribution transformers primarily for utility customers and also for industrial customers. </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The Comtrafo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xml:space="preserve"> </w:t>
      </w:r>
      <w:r>
        <w:rPr>
          <w:rFonts w:ascii="Times New Roman;Times;serif" w:hAnsi="Times New Roman;Times;serif"/>
          <w:i/>
          <w:sz w:val="20"/>
        </w:rPr>
        <w:t>Business Combinations</w:t>
      </w:r>
      <w:r>
        <w:rPr>
          <w:rFonts w:ascii="Times New Roman;Times;serif" w:hAnsi="Times New Roman;Times;serif"/>
          <w:sz w:val="20"/>
        </w:rPr>
        <w:t xml:space="preserve">. The Company allocated the purchase price on a preliminary basis using the information available as of </w:t>
      </w:r>
      <w:r>
        <w:rPr>
          <w:rStyle w:val="Emphasis"/>
          <w:rFonts w:ascii="Times New Roman;Times;serif" w:hAnsi="Times New Roman;Times;serif"/>
          <w:sz w:val="20"/>
        </w:rPr>
        <w:t>December 5,</w:t>
      </w:r>
      <w:r>
        <w:rPr>
          <w:rFonts w:ascii="Times New Roman;Times;serif" w:hAnsi="Times New Roman;Times;serif"/>
          <w:sz w:val="20"/>
        </w:rPr>
        <w:t xml:space="preserve"> </w:t>
      </w:r>
      <w:r>
        <w:rPr>
          <w:rStyle w:val="Emphasis"/>
          <w:rFonts w:ascii="Times New Roman;Times;serif" w:hAnsi="Times New Roman;Times;serif"/>
          <w:sz w:val="20"/>
        </w:rPr>
        <w:t>2025</w:t>
      </w:r>
      <w:r>
        <w:rPr>
          <w:rFonts w:ascii="Times New Roman;Times;serif" w:hAnsi="Times New Roman;Times;serif"/>
          <w:sz w:val="20"/>
        </w:rPr>
        <w:t xml:space="preserve"> to the assets acquired and liabilities assumed at their estimated fair values as of the date of acquisition. Due to the timing of the completion of the acquisition, the purchase price and related allocation are preliminary and could be revised as a result of adjustments made to the purchase price, and revisions of provisional estimates of fair values of deferred taxes, contingent consideration and intangible asset balances. Changes to the purchase price allocation could be significant. The purchase price allocation will be finalized within the measurement period of up to </w:t>
      </w:r>
      <w:r>
        <w:rPr>
          <w:rStyle w:val="Emphasis"/>
          <w:rFonts w:ascii="Times New Roman;Times;serif" w:hAnsi="Times New Roman;Times;serif"/>
          <w:sz w:val="20"/>
        </w:rPr>
        <w:t>one</w:t>
      </w:r>
      <w:r>
        <w:rPr>
          <w:rFonts w:ascii="Times New Roman;Times;serif" w:hAnsi="Times New Roman;Times;serif"/>
          <w:sz w:val="20"/>
        </w:rPr>
        <w:t xml:space="preserve"> year from the acquisition. The excess of the purchase price paid by the Company over the estimated fair value of net assets acquired has been recorded as goodwill.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$202.9 million includes the fair value of the Company’s common stock issued at closing, contingent consideration and cash paid, as follows (in millions):</w:t>
      </w:r>
    </w:p>
    <w:p>
      <w:pPr>
        <w:pStyle w:val="TextBody"/>
        <w:bidi w:val="0"/>
        <w:spacing w:before="0" w:after="0"/>
        <w:ind w:left="0" w:right="0" w:firstLine="720"/>
        <w:jc w:val="both"/>
      </w:pPr>
      <w:r>
        <w:t> </w:t>
      </w:r>
    </w:p>
    <w:tbl>
      <w:tblPr>
        <w:tblW w:w="5475" w:type="dxa"/>
        <w:jc w:val="left"/>
        <w:tblInd w:w="0" w:type="dxa"/>
        <w:tblLayout w:type="fixed"/>
        <w:tblCellMar>
          <w:top w:w="0" w:type="dxa"/>
          <w:left w:w="0" w:type="dxa"/>
          <w:bottom w:w="0" w:type="dxa"/>
          <w:right w:w="0" w:type="dxa"/>
        </w:tblCellMar>
      </w:tblPr>
      <w:tblGrid>
        <w:gridCol w:w="4745"/>
        <w:gridCol w:w="60"/>
        <w:gridCol w:w="125"/>
        <w:gridCol w:w="485"/>
        <w:gridCol w:w="60"/>
      </w:tblGrid>
      <w:t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60" w:type="dxa"/>
            <w:tcBorders/>
            <w:shd w:fill="CCEEFF" w:val="clear"/>
            <w:vAlign w:val="center"/>
          </w:tcPr>
          <w:p>
            <w:pPr>
              <w:pStyle w:val="TableContents"/>
              <w:bidi w:val="0"/>
              <w:spacing w:before="0" w:after="283"/>
              <w:jc w:val="left"/>
            </w:pPr>
            <w:r>
              <w:t> </w:t>
            </w:r>
          </w:p>
        </w:tc>
      </w:tr>
      <w:t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2,417,142 shares of Company’s common stock</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shd w:fill="FFFFFF" w:val="clear"/>
            <w:vAlign w:val="center"/>
          </w:tcPr>
          <w:p>
            <w:pPr>
              <w:pStyle w:val="TableContents"/>
              <w:bidi w:val="0"/>
              <w:spacing w:before="0" w:after="283"/>
              <w:jc w:val="left"/>
            </w:pPr>
            <w:r>
              <w:t> </w:t>
            </w:r>
          </w:p>
        </w:tc>
      </w:tr>
      <w:t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60" w:type="dxa"/>
            <w:tcBorders/>
            <w:shd w:fill="CCEEFF" w:val="clear"/>
            <w:vAlign w:val="center"/>
          </w:tcPr>
          <w:p>
            <w:pPr>
              <w:pStyle w:val="TableContents"/>
              <w:bidi w:val="0"/>
              <w:spacing w:before="0" w:after="283"/>
              <w:jc w:val="left"/>
            </w:pPr>
            <w:r>
              <w:t> </w:t>
            </w:r>
          </w:p>
        </w:tc>
      </w:tr>
      <w:t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At the Comtrafo Acquisition Date, in addition to the $88.3 million cash, the Company valued the Company’s common stock at $33.01 per share, which was the opening price on that date. Comtrafo Acquisition costs of $1.2 million were included in selling, general, and administrative (“SG&amp;A”) for the fiscal year ended </w:t>
      </w:r>
      <w:r>
        <w:rPr>
          <w:rStyle w:val="Emphasis"/>
          <w:rFonts w:ascii="Times New Roman;Times;serif" w:hAnsi="Times New Roman;Times;serif"/>
          <w:sz w:val="20"/>
        </w:rPr>
        <w:t xml:space="preserve"> March 31, 2026. </w:t>
      </w:r>
    </w:p>
    <w:p>
      <w:pPr>
        <w:pStyle w:val="TextBody"/>
        <w:bidi w:val="0"/>
        <w:spacing w:before="0" w:after="0"/>
        <w:ind w:left="0" w:right="0" w:firstLine="72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Comtrafo Acquisition as of the Comtrafo Acquisition Date: (in millions)</w:t>
      </w:r>
    </w:p>
    <w:p>
      <w:pPr>
        <w:pStyle w:val="TextBody"/>
        <w:bidi w:val="0"/>
        <w:spacing w:before="0" w:after="0"/>
        <w:ind w:left="0" w:right="0" w:firstLine="720"/>
        <w:jc w:val="left"/>
      </w:pPr>
      <w:r>
        <w:t> </w:t>
      </w:r>
    </w:p>
    <w:tbl>
      <w:tblPr>
        <w:tblW w:w="4580" w:type="dxa"/>
        <w:jc w:val="left"/>
        <w:tblInd w:w="0" w:type="dxa"/>
        <w:tblLayout w:type="fixed"/>
        <w:tblCellMar>
          <w:top w:w="0" w:type="dxa"/>
          <w:left w:w="0" w:type="dxa"/>
          <w:bottom w:w="0" w:type="dxa"/>
          <w:right w:w="0" w:type="dxa"/>
        </w:tblCellMar>
      </w:tblPr>
      <w:tblGrid>
        <w:gridCol w:w="3830"/>
        <w:gridCol w:w="60"/>
        <w:gridCol w:w="125"/>
        <w:gridCol w:w="485"/>
        <w:gridCol w:w="80"/>
      </w:tblGrid>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current and long-term</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8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assets/(liabilities)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CCEEFF" w:val="clear"/>
            <w:vAlign w:val="center"/>
          </w:tcPr>
          <w:p>
            <w:pPr>
              <w:pStyle w:val="TableContents"/>
              <w:bidi w:val="0"/>
              <w:spacing w:before="0" w:after="283"/>
              <w:jc w:val="left"/>
            </w:pPr>
            <w:r>
              <w:t> </w:t>
            </w:r>
          </w:p>
        </w:tc>
      </w:tr>
      <w:tr>
        <w:tc>
          <w:tcPr>
            <w:tcW w:w="38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8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$6.9 million. The gross amount due is $10.5 million, of which $3.6 million is expected to be uncollectible. The Company adjusted the fair value for receivables that exceeded a year.</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Inventory includes a $1.5 million adjustment to step-up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step-up adjustment increased cost of revenue $</w:t>
      </w:r>
      <w:r>
        <w:rPr>
          <w:rFonts w:ascii="Times New Roman;Times;serif" w:hAnsi="Times New Roman;Times;serif"/>
          <w:sz w:val="20"/>
          <w:shd w:fill="FFFFFF" w:val="clear"/>
        </w:rPr>
        <w:t>0.8 </w:t>
      </w:r>
      <w:r>
        <w:rPr>
          <w:rFonts w:ascii="Times New Roman;Times;serif" w:hAnsi="Times New Roman;Times;serif"/>
          <w:sz w:val="20"/>
        </w:rPr>
        <w:t xml:space="preserve">million in the fiscal year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as the inventory was sold. The inventory step-up adjustment increased cost of revenue $0.7 million in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As part of the Comtrafo Acquisition, the Company identified </w:t>
      </w:r>
      <w:r>
        <w:rPr>
          <w:rStyle w:val="Emphasis"/>
          <w:rFonts w:ascii="Times New Roman;Times;serif" w:hAnsi="Times New Roman;Times;serif"/>
          <w:sz w:val="20"/>
        </w:rPr>
        <w:t>three</w:t>
      </w:r>
      <w:r>
        <w:rPr>
          <w:rFonts w:ascii="Times New Roman;Times;serif" w:hAnsi="Times New Roman;Times;serif"/>
          <w:sz w:val="20"/>
        </w:rPr>
        <w:t xml:space="preserve"> debt agreements that Comtrafo had entered into prior to the Comtrafo Acquisition Date. The debt agreements totaling $8.8 million were subsequently paid off by the Company during the fiscal year ended </w:t>
      </w:r>
      <w:r>
        <w:rPr>
          <w:rStyle w:val="Emphasis"/>
          <w:rFonts w:ascii="Times New Roman;Times;serif" w:hAnsi="Times New Roman;Times;serif"/>
          <w:sz w:val="20"/>
        </w:rPr>
        <w:t>March 31, 2026.  </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Backlog of $2.6 million was evaluated using the multi period excess earnings method under the income approach. The contracts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 sixteen-month period with the expense being allocated to cost of revenues.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Customer relationships of $7.9 million relate to customers currently under contract and was based on a multi period excess earnings method under the income approach. The method of amortization being utilized is the economic consumption over 5 years with the expense being allocated to SG&amp;A. </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Goodwill represents the value associated with the acquired workforce and expected synergies related to the business combination of the </w:t>
      </w:r>
      <w:r>
        <w:rPr>
          <w:rStyle w:val="Emphasis"/>
          <w:rFonts w:ascii="Times New Roman;Times;serif" w:hAnsi="Times New Roman;Times;serif"/>
          <w:sz w:val="20"/>
        </w:rPr>
        <w:t>two</w:t>
      </w:r>
      <w:r>
        <w:rPr>
          <w:rFonts w:ascii="Times New Roman;Times;serif" w:hAnsi="Times New Roman;Times;serif"/>
          <w:sz w:val="20"/>
        </w:rPr>
        <w:t xml:space="preserve"> companies. Goodwill resulting from the Comtrafo Acquisition was assigned to the Company's Grid segment. Goodwill recognized in the Comtrafo Acquisition is </w:t>
      </w:r>
      <w:r>
        <w:rPr>
          <w:rStyle w:val="Emphasis"/>
          <w:rFonts w:ascii="Times New Roman;Times;serif" w:hAnsi="Times New Roman;Times;serif"/>
          <w:sz w:val="20"/>
        </w:rPr>
        <w:t>not</w:t>
      </w:r>
      <w:r>
        <w:rPr>
          <w:rFonts w:ascii="Times New Roman;Times;serif" w:hAnsi="Times New Roman;Times;serif"/>
          <w:sz w:val="20"/>
        </w:rPr>
        <w:t xml:space="preserve"> deductible for tax purposes. The $4.1 million of deferred tax asset is primarily related to basis difference of intangibles, inventory and property, plant,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pPr>
      <w:r>
        <w:rPr>
          <w:rFonts w:ascii="Times New Roman" w:hAnsi="Times New Roman"/>
          <w:caps w:val="false"/>
          <w:smallCaps w:val="false"/>
          <w:sz w:val="20"/>
        </w:rPr>
        <w:t xml:space="preserve">The unaudited pro forma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presented as if the Comtrafo Acquisition had occurred on </w:t>
      </w:r>
      <w:r>
        <w:rPr>
          <w:rStyle w:val="Emphasis"/>
          <w:rFonts w:ascii="Times New Roman" w:hAnsi="Times New Roman"/>
          <w:caps w:val="false"/>
          <w:smallCaps w:val="false"/>
          <w:sz w:val="20"/>
        </w:rPr>
        <w:t xml:space="preserve">April 1, 2025, </w:t>
      </w:r>
      <w:r>
        <w:rPr>
          <w:rFonts w:ascii="Times New Roman" w:hAnsi="Times New Roman"/>
          <w:caps w:val="false"/>
          <w:smallCaps w:val="false"/>
          <w:sz w:val="20"/>
        </w:rPr>
        <w:t>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8443" w:type="dxa"/>
        <w:jc w:val="left"/>
        <w:tblInd w:w="0" w:type="dxa"/>
        <w:tblLayout w:type="fixed"/>
        <w:tblCellMar>
          <w:top w:w="0" w:type="dxa"/>
          <w:left w:w="0" w:type="dxa"/>
          <w:bottom w:w="0" w:type="dxa"/>
          <w:right w:w="0" w:type="dxa"/>
        </w:tblCellMar>
      </w:tblPr>
      <w:tblGrid>
        <w:gridCol w:w="2465"/>
        <w:gridCol w:w="60"/>
        <w:gridCol w:w="518"/>
        <w:gridCol w:w="2456"/>
        <w:gridCol w:w="60"/>
        <w:gridCol w:w="60"/>
        <w:gridCol w:w="419"/>
        <w:gridCol w:w="2345"/>
        <w:gridCol w:w="60"/>
      </w:tblGrid>
      <w:tr>
        <w:tc>
          <w:tcPr>
            <w:tcW w:w="24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24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162,281</w:t>
            </w:r>
          </w:p>
        </w:tc>
        <w:tc>
          <w:tcPr>
            <w:tcW w:w="60" w:type="dxa"/>
            <w:tcBorders/>
            <w:shd w:fill="CCEEFF" w:val="clear"/>
            <w:vAlign w:val="center"/>
          </w:tcPr>
          <w:p>
            <w:pPr>
              <w:pStyle w:val="TableContents"/>
              <w:bidi w:val="0"/>
              <w:spacing w:before="0" w:after="283"/>
              <w:jc w:val="left"/>
            </w:pPr>
            <w:r>
              <w:t> </w:t>
            </w:r>
          </w:p>
        </w:tc>
      </w:tr>
      <w:t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pPr>
            <w: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19" w:type="dxa"/>
            <w:tcBorders/>
            <w:shd w:fill="FFFFFF" w:val="clear"/>
            <w:vAlign w:val="center"/>
          </w:tcPr>
          <w:p>
            <w:pPr>
              <w:pStyle w:val="TableContents"/>
              <w:bidi w:val="0"/>
              <w:spacing w:before="0" w:after="283"/>
              <w:ind w:left="0" w:right="0" w:hanging="0"/>
              <w:jc w:val="left"/>
            </w:pPr>
            <w:r>
              <w:t> </w:t>
            </w:r>
          </w:p>
        </w:tc>
        <w:tc>
          <w:tcPr>
            <w:tcW w:w="2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12,836</w:t>
            </w:r>
          </w:p>
        </w:tc>
        <w:tc>
          <w:tcPr>
            <w:tcW w:w="60" w:type="dxa"/>
            <w:tcBorders/>
            <w:shd w:fill="FFFFFF" w:val="clear"/>
            <w:vAlign w:val="center"/>
          </w:tcPr>
          <w:p>
            <w:pPr>
              <w:pStyle w:val="TableContents"/>
              <w:bidi w:val="0"/>
              <w:spacing w:before="0" w:after="283"/>
              <w:jc w:val="left"/>
            </w:pPr>
            <w:r>
              <w:t> </w:t>
            </w:r>
          </w:p>
        </w:tc>
      </w:tr>
      <w:t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13,465</w:t>
            </w:r>
          </w:p>
        </w:tc>
        <w:tc>
          <w:tcPr>
            <w:tcW w:w="60" w:type="dxa"/>
            <w:tcBorders/>
            <w:shd w:fill="CCEEFF" w:val="clear"/>
            <w:vAlign w:val="center"/>
          </w:tcPr>
          <w:p>
            <w:pPr>
              <w:pStyle w:val="TableContents"/>
              <w:bidi w:val="0"/>
              <w:spacing w:before="0" w:after="283"/>
              <w:jc w:val="left"/>
            </w:pPr>
            <w:r>
              <w:t> </w:t>
            </w:r>
          </w:p>
        </w:tc>
      </w:tr>
      <w:tr>
        <w:tc>
          <w:tcPr>
            <w:tcW w:w="24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8" w:type="dxa"/>
            <w:tcBorders/>
            <w:shd w:fill="FFFFFF" w:val="clear"/>
            <w:vAlign w:val="center"/>
          </w:tcPr>
          <w:p>
            <w:pPr>
              <w:pStyle w:val="TableContents"/>
              <w:bidi w:val="0"/>
              <w:spacing w:before="0" w:after="283"/>
              <w:jc w:val="left"/>
            </w:pPr>
            <w:r>
              <w:t> </w:t>
            </w:r>
          </w:p>
        </w:tc>
        <w:tc>
          <w:tcPr>
            <w:tcW w:w="245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19" w:type="dxa"/>
            <w:tcBorders/>
            <w:shd w:fill="FFFFFF" w:val="clear"/>
            <w:vAlign w:val="center"/>
          </w:tcPr>
          <w:p>
            <w:pPr>
              <w:pStyle w:val="TableContents"/>
              <w:bidi w:val="0"/>
              <w:spacing w:before="0" w:after="283"/>
              <w:jc w:val="left"/>
            </w:pPr>
            <w:r>
              <w:t> </w:t>
            </w:r>
          </w:p>
        </w:tc>
        <w:tc>
          <w:tcPr>
            <w:tcW w:w="23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CCEEFF" w:val="clear"/>
            <w:vAlign w:val="center"/>
          </w:tcPr>
          <w:p>
            <w:pPr>
              <w:pStyle w:val="TableContents"/>
              <w:bidi w:val="0"/>
              <w:spacing w:before="0" w:after="283"/>
              <w:jc w:val="left"/>
            </w:pPr>
            <w:r>
              <w:t> </w:t>
            </w:r>
          </w:p>
        </w:tc>
        <w:tc>
          <w:tcPr>
            <w:tcW w:w="518" w:type="dxa"/>
            <w:tcBorders/>
            <w:shd w:fill="CCEEFF" w:val="clear"/>
            <w:vAlign w:val="center"/>
          </w:tcPr>
          <w:p>
            <w:pPr>
              <w:pStyle w:val="TableContents"/>
              <w:bidi w:val="0"/>
              <w:spacing w:before="0" w:after="283"/>
              <w:jc w:val="left"/>
            </w:pPr>
            <w:r>
              <w:t> </w:t>
            </w:r>
          </w:p>
        </w:tc>
        <w:tc>
          <w:tcPr>
            <w:tcW w:w="245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19" w:type="dxa"/>
            <w:tcBorders/>
            <w:shd w:fill="CCEEFF" w:val="clear"/>
            <w:vAlign w:val="center"/>
          </w:tcPr>
          <w:p>
            <w:pPr>
              <w:pStyle w:val="TableContents"/>
              <w:bidi w:val="0"/>
              <w:spacing w:before="0" w:after="283"/>
              <w:jc w:val="left"/>
            </w:pPr>
            <w:r>
              <w:t> </w:t>
            </w:r>
          </w:p>
        </w:tc>
        <w:tc>
          <w:tcPr>
            <w:tcW w:w="23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pPr>
            <w:r>
              <w:t> </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p>
        </w:tc>
        <w:tc>
          <w:tcPr>
            <w:tcW w:w="60" w:type="dxa"/>
            <w:tcBorders/>
            <w:shd w:fill="FFFFFF" w:val="clear"/>
            <w:vAlign w:val="center"/>
          </w:tcPr>
          <w:p>
            <w:pPr>
              <w:pStyle w:val="TableContents"/>
              <w:bidi w:val="0"/>
              <w:spacing w:before="0" w:after="283"/>
              <w:jc w:val="left"/>
            </w:pPr>
            <w:r>
              <w:t> </w:t>
            </w:r>
          </w:p>
        </w:tc>
      </w:tr>
      <w:t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p>
        </w:tc>
        <w:tc>
          <w:tcPr>
            <w:tcW w:w="60" w:type="dxa"/>
            <w:tcBorders/>
            <w:shd w:fill="CCEEFF" w:val="clear"/>
            <w:vAlign w:val="center"/>
          </w:tcPr>
          <w:p>
            <w:pPr>
              <w:pStyle w:val="TableContents"/>
              <w:bidi w:val="0"/>
              <w:spacing w:before="0" w:after="283"/>
              <w:jc w:val="left"/>
            </w:pPr>
            <w:r>
              <w:t> </w:t>
            </w:r>
          </w:p>
        </w:tc>
      </w:tr>
      <w:t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FFFFFF" w:val="clear"/>
            <w:vAlign w:val="center"/>
          </w:tcPr>
          <w:p>
            <w:pPr>
              <w:pStyle w:val="TableContents"/>
              <w:bidi w:val="0"/>
              <w:spacing w:before="0" w:after="283"/>
              <w:jc w:val="left"/>
            </w:pPr>
            <w:r>
              <w:t> </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4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43,488</w:t>
            </w:r>
          </w:p>
        </w:tc>
        <w:tc>
          <w:tcPr>
            <w:tcW w:w="60" w:type="dxa"/>
            <w:tcBorders/>
            <w:shd w:fill="FFFFFF" w:val="clear"/>
            <w:vAlign w:val="center"/>
          </w:tcPr>
          <w:p>
            <w:pPr>
              <w:pStyle w:val="TableContents"/>
              <w:bidi w:val="0"/>
              <w:spacing w:before="0" w:after="283"/>
              <w:jc w:val="left"/>
            </w:pPr>
            <w:r>
              <w:t> </w:t>
            </w:r>
          </w:p>
        </w:tc>
      </w:tr>
      <w:t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diluted</w:t>
            </w:r>
          </w:p>
        </w:tc>
        <w:tc>
          <w:tcPr>
            <w:tcW w:w="60" w:type="dxa"/>
            <w:tcBorders/>
            <w:shd w:fill="CCEEFF" w:val="clear"/>
            <w:vAlign w:val="center"/>
          </w:tcPr>
          <w:p>
            <w:pPr>
              <w:pStyle w:val="TableContents"/>
              <w:bidi w:val="0"/>
              <w:spacing w:before="0" w:after="283"/>
              <w:jc w:val="left"/>
            </w:pPr>
            <w: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46,627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pPr>
      <w:r>
        <w:rPr>
          <w:rFonts w:ascii="Times New Roman" w:hAnsi="Times New Roman"/>
          <w:caps w:val="false"/>
          <w:smallCaps w:val="false"/>
          <w:sz w:val="20"/>
        </w:rPr>
        <w:t xml:space="preserve">The pro forma amounts include the historical operating results of the Company and Comtrafo with appropriate adjustments that give effect to acquisition related costs, income taxes, intangible amortization resulting from the Comtrafo Acquisition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Comtrafo Acquisition and related transactions had been completed at the beginning of the applicable period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pPr>
      <w:r>
        <w:rPr>
          <w:rFonts w:ascii="Times New Roman" w:hAnsi="Times New Roman"/>
          <w:caps w:val="false"/>
          <w:smallCaps w:val="false"/>
          <w:sz w:val="20"/>
        </w:rPr>
        <w:t xml:space="preserve">Comtrafo contributed $18.5 million of revenue and $2.6 million in net income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Comtrafo contributed $38.0 million of revenue and $11.6 million in net income for the Company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Amortization expense of $</w:t>
      </w:r>
      <w:r>
        <w:rPr>
          <w:rFonts w:ascii="Times New Roman" w:hAnsi="Times New Roman"/>
          <w:caps w:val="false"/>
          <w:smallCaps w:val="false"/>
          <w:sz w:val="20"/>
          <w:shd w:fill="FFFFFF" w:val="clear"/>
        </w:rPr>
        <w:t>0.7</w:t>
      </w:r>
      <w:r>
        <w:rPr>
          <w:rFonts w:ascii="Times New Roman" w:hAnsi="Times New Roman"/>
          <w:caps w:val="false"/>
          <w:smallCaps w:val="false"/>
          <w:sz w:val="20"/>
        </w:rPr>
        <w:t xml:space="preserve"> million and $1.3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respectively, as a result of the acquired intangible assets from the Comtrafo Acquisition.</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86% and 89%, respectively, of revenue was recognized at the point in time when control transferred to the customer, with the remainder being recognized over time. For both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90% of revenue was recognized at the point in time when control transferred to the customer, with the remainder being recognized over time.</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In the Company's product sales,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 For both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93% of revenue was recognized related to the sales of product, with the remainder being recognized based on the performance of service. For both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93% of revenue was recognized related to the sales of product, with the remainder being recognized based on the performance of service.</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 w:hAnsi="Times New Roman"/>
          <w:caps w:val="false"/>
          <w:smallCaps w:val="false"/>
          <w:sz w:val="20"/>
        </w:rPr>
        <w:t>Included in the Company's performance of services, there are several different types of transactions and each begins with a contract with a customer that summarizes each product sold to a customer, which typically represents distinct performance obligations. Included in the business segment line there are technology development transactions that are primarily for activities that have </w:t>
      </w:r>
      <w:r>
        <w:rPr>
          <w:rStyle w:val="Emphasis"/>
          <w:rFonts w:ascii="Times New Roman" w:hAnsi="Times New Roman"/>
          <w:caps w:val="false"/>
          <w:smallCaps w:val="false"/>
          <w:sz w:val="20"/>
        </w:rPr>
        <w:t>no</w:t>
      </w:r>
      <w:r>
        <w:rPr>
          <w:rFonts w:ascii="Times New Roman" w:hAnsi="Times New Roman"/>
          <w:caps w:val="false"/>
          <w:smallCaps w:val="false"/>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 w:hAnsi="Times New Roman"/>
          <w:caps w:val="false"/>
          <w:smallCaps w:val="false"/>
          <w:sz w:val="20"/>
        </w:rPr>
        <w:t>not</w:t>
      </w:r>
      <w:r>
        <w:rPr>
          <w:rFonts w:ascii="Times New Roman" w:hAnsi="Times New Roman"/>
          <w:caps w:val="false"/>
          <w:smallCaps w:val="false"/>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 w:hAnsi="Times New Roman"/>
          <w:caps w:val="false"/>
          <w:smallCaps w:val="false"/>
          <w:sz w:val="20"/>
        </w:rPr>
        <w:t>not</w:t>
      </w:r>
      <w:r>
        <w:rPr>
          <w:rFonts w:ascii="Times New Roman" w:hAnsi="Times New Roman"/>
          <w:caps w:val="false"/>
          <w:smallCaps w:val="false"/>
          <w:sz w:val="20"/>
        </w:rPr>
        <w:t> assured and a contract does </w:t>
      </w:r>
      <w:r>
        <w:rPr>
          <w:rStyle w:val="Emphasis"/>
          <w:rFonts w:ascii="Times New Roman" w:hAnsi="Times New Roman"/>
          <w:caps w:val="false"/>
          <w:smallCaps w:val="false"/>
          <w:sz w:val="20"/>
        </w:rPr>
        <w:t>not</w:t>
      </w:r>
      <w:r>
        <w:rPr>
          <w:rFonts w:ascii="Times New Roman" w:hAnsi="Times New Roman"/>
          <w:caps w:val="false"/>
          <w:smallCaps w:val="false"/>
          <w:sz w:val="20"/>
        </w:rPr>
        <w:t> exist under ASC </w:t>
      </w:r>
      <w:r>
        <w:rPr>
          <w:rStyle w:val="Emphasis"/>
          <w:rFonts w:ascii="Times New Roman" w:hAnsi="Times New Roman"/>
          <w:caps w:val="false"/>
          <w:smallCaps w:val="false"/>
          <w:sz w:val="20"/>
        </w:rPr>
        <w:t>606,</w:t>
      </w:r>
      <w:r>
        <w:rPr>
          <w:rFonts w:ascii="Times New Roman" w:hAnsi="Times New Roman"/>
          <w:caps w:val="false"/>
          <w:smallCaps w:val="false"/>
          <w:sz w:val="20"/>
        </w:rPr>
        <w:t> revenue is deferred until a non-refundable payment has been received for substantially all the amount that is due 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further remaining performance obligations.</w:t>
      </w:r>
    </w:p>
    <w:p>
      <w:pPr>
        <w:pStyle w:val="TextBody"/>
        <w:bidi w:val="0"/>
        <w:spacing w:before="0" w:after="0"/>
        <w:ind w:left="0" w:right="0" w:firstLine="540"/>
        <w:jc w:val="both"/>
      </w:pPr>
      <w:r>
        <w:t> </w:t>
      </w:r>
    </w:p>
    <w:p>
      <w:pPr>
        <w:pStyle w:val="TextBody"/>
        <w:bidi w:val="0"/>
        <w:spacing w:before="0" w:after="0"/>
        <w:jc w:val="cente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pPr>
      <w:r>
        <w:t> </w:t>
      </w:r>
    </w:p>
    <w:p>
      <w:pPr>
        <w:pStyle w:val="TextBody"/>
        <w:bidi w:val="0"/>
        <w:spacing w:before="0" w:after="0"/>
        <w:ind w:left="0" w:right="0" w:firstLine="720"/>
        <w:jc w:val="both"/>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pPr>
      <w:r>
        <w:t> </w:t>
      </w:r>
    </w:p>
    <w:p>
      <w:pPr>
        <w:pStyle w:val="TextBody"/>
        <w:bidi w:val="0"/>
        <w:spacing w:before="0" w:after="0"/>
        <w:ind w:left="0" w:right="0" w:firstLine="720"/>
        <w:jc w:val="both"/>
      </w:pPr>
      <w:r>
        <w:rPr>
          <w:rFonts w:ascii="Times New Roman;Times;serif" w:hAnsi="Times New Roman;Times;serif"/>
          <w:sz w:val="20"/>
        </w:rPr>
        <w:t xml:space="preserve">Infrequently, the Company receives requests from customers to hold product being purchased from it for a valid business purpose. The Company recognizes revenues for such arrangements provided the transactions meets, at a minimum, the following criteria: the reason for the bill-and-hold arrangement must be substantive; the product must be identified separately as belonging to the customer; the product must be then currently ready for physical transfer to the customer; the entity cannot have the ability to use the product or direct it to another customer. Revenue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included $0.7 million from such held transactions. Revenue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included $7.9 million from such held transactions. </w:t>
      </w:r>
    </w:p>
    <w:p>
      <w:pPr>
        <w:pStyle w:val="TextBody"/>
        <w:bidi w:val="0"/>
        <w:spacing w:before="0" w:after="0"/>
        <w:ind w:left="0" w:right="0" w:firstLine="540"/>
        <w:jc w:val="both"/>
      </w:pPr>
      <w:r>
        <w:t> </w:t>
      </w:r>
    </w:p>
    <w:p>
      <w:pPr>
        <w:pStyle w:val="TextBody"/>
        <w:bidi w:val="0"/>
        <w:spacing w:before="0" w:after="0"/>
        <w:ind w:left="0" w:right="0" w:firstLine="720"/>
        <w:jc w:val="both"/>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March 31, 2026</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pPr>
      <w:r>
        <w:t> </w:t>
      </w:r>
    </w:p>
    <w:p>
      <w:pPr>
        <w:pStyle w:val="TextBody"/>
        <w:bidi w:val="0"/>
        <w:spacing w:before="0" w:after="0"/>
        <w:jc w:val="cente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shipment destination (in thousands):</w:t>
      </w:r>
    </w:p>
    <w:p>
      <w:pPr>
        <w:pStyle w:val="TextBody"/>
        <w:bidi w:val="0"/>
        <w:spacing w:before="0" w:after="0"/>
        <w:ind w:left="0" w:right="0" w:firstLine="720"/>
        <w:jc w:val="both"/>
      </w:pPr>
      <w:r>
        <w:t> </w:t>
      </w:r>
    </w:p>
    <w:p>
      <w:pPr>
        <w:pStyle w:val="TextBody"/>
        <w:bidi w:val="0"/>
        <w:spacing w:before="0" w:after="0"/>
        <w:ind w:left="0" w:right="0" w:firstLine="720"/>
        <w:jc w:val="both"/>
      </w:pPr>
      <w:r>
        <w:t> </w:t>
      </w:r>
    </w:p>
    <w:tbl>
      <w:tblPr>
        <w:tblW w:w="5926" w:type="dxa"/>
        <w:jc w:val="left"/>
        <w:tblInd w:w="0" w:type="dxa"/>
        <w:tblLayout w:type="fixed"/>
        <w:tblCellMar>
          <w:top w:w="0" w:type="dxa"/>
          <w:left w:w="0" w:type="dxa"/>
          <w:bottom w:w="0" w:type="dxa"/>
          <w:right w:w="0" w:type="dxa"/>
        </w:tblCellMar>
      </w:tblPr>
      <w:tblGrid>
        <w:gridCol w:w="1220"/>
        <w:gridCol w:w="950"/>
        <w:gridCol w:w="60"/>
        <w:gridCol w:w="141"/>
        <w:gridCol w:w="669"/>
        <w:gridCol w:w="68"/>
        <w:gridCol w:w="68"/>
        <w:gridCol w:w="141"/>
        <w:gridCol w:w="669"/>
        <w:gridCol w:w="60"/>
        <w:gridCol w:w="60"/>
        <w:gridCol w:w="125"/>
        <w:gridCol w:w="695"/>
        <w:gridCol w:w="60"/>
        <w:gridCol w:w="60"/>
        <w:gridCol w:w="125"/>
        <w:gridCol w:w="695"/>
        <w:gridCol w:w="60"/>
      </w:tblGrid>
      <w:tr>
        <w:tc>
          <w:tcPr>
            <w:tcW w:w="122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175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pPr>
            <w:r>
              <w:t> </w:t>
            </w:r>
          </w:p>
        </w:tc>
        <w:tc>
          <w:tcPr>
            <w:tcW w:w="175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pPr>
            <w: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9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669"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66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95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51,359</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84,978</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95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17,406</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95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5,285</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22,330</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95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6,679</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95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76,667</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669"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66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9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jc w:val="left"/>
            </w:pPr>
            <w:r>
              <w:t> </w:t>
            </w:r>
          </w:p>
        </w:tc>
        <w:tc>
          <w:tcPr>
            <w:tcW w:w="66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95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669" w:type="dxa"/>
            <w:tcBorders/>
            <w:shd w:fill="FFFFFF" w:val="clear"/>
            <w:vAlign w:val="center"/>
          </w:tcPr>
          <w:p>
            <w:pPr>
              <w:pStyle w:val="TableContents"/>
              <w:bidi w:val="0"/>
              <w:spacing w:before="0" w:after="283"/>
              <w:ind w:left="0" w:right="0" w:hanging="0"/>
              <w:jc w:val="right"/>
            </w:pPr>
            <w:r>
              <w:t>—</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950"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17,371</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23,696</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950" w:type="dxa"/>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pPr>
            <w:r>
              <w:t> </w:t>
            </w:r>
          </w:p>
        </w:tc>
      </w:tr>
      <w:tr>
        <w:tc>
          <w:tcPr>
            <w:tcW w:w="2170" w:type="dxa"/>
            <w:gridSpan w:val="2"/>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17,371</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As of </w:t>
      </w:r>
      <w:r>
        <w:rPr>
          <w:rStyle w:val="Emphasis"/>
          <w:rFonts w:ascii="Times New Roman;Times;serif" w:hAnsi="Times New Roman;Times;serif"/>
          <w:sz w:val="20"/>
        </w:rPr>
        <w:t>September 30, 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8,</w:t>
      </w:r>
      <w:r>
        <w:rPr>
          <w:rFonts w:ascii="Times New Roman;Times;serif" w:hAnsi="Times New Roman;Times;serif"/>
          <w:sz w:val="20"/>
        </w:rPr>
        <w:t xml:space="preserve"> “Accounts Receivable” and Note </w:t>
      </w:r>
      <w:r>
        <w:rPr>
          <w:rStyle w:val="Emphasis"/>
          <w:rFonts w:ascii="Times New Roman;Times;serif" w:hAnsi="Times New Roman;Times;serif"/>
          <w:sz w:val="20"/>
        </w:rPr>
        <w:t>9,</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pPr>
      <w:r>
        <w:t> </w:t>
      </w:r>
    </w:p>
    <w:tbl>
      <w:tblPr>
        <w:tblW w:w="10205" w:type="dxa"/>
        <w:jc w:val="left"/>
        <w:tblInd w:w="0" w:type="dxa"/>
        <w:tblLayout w:type="fixed"/>
        <w:tblCellMar>
          <w:top w:w="0" w:type="dxa"/>
          <w:left w:w="0" w:type="dxa"/>
          <w:bottom w:w="0" w:type="dxa"/>
          <w:right w:w="0" w:type="dxa"/>
        </w:tblCellMar>
      </w:tblPr>
      <w:tblGrid>
        <w:gridCol w:w="5183"/>
        <w:gridCol w:w="60"/>
        <w:gridCol w:w="290"/>
        <w:gridCol w:w="1521"/>
        <w:gridCol w:w="80"/>
        <w:gridCol w:w="60"/>
        <w:gridCol w:w="236"/>
        <w:gridCol w:w="1229"/>
        <w:gridCol w:w="80"/>
        <w:gridCol w:w="60"/>
        <w:gridCol w:w="198"/>
        <w:gridCol w:w="1110"/>
        <w:gridCol w:w="98"/>
      </w:tblGrid>
      <w:tr>
        <w:tc>
          <w:tcPr>
            <w:tcW w:w="518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Contract Liabilities</w:t>
            </w:r>
          </w:p>
        </w:tc>
        <w:tc>
          <w:tcPr>
            <w:tcW w:w="98" w:type="dxa"/>
            <w:tcBorders/>
            <w:shd w:fill="FFFFFF" w:val="clear"/>
            <w:vAlign w:val="center"/>
          </w:tcPr>
          <w:p>
            <w:pPr>
              <w:pStyle w:val="TableContents"/>
              <w:bidi w:val="0"/>
              <w:spacing w:before="0" w:after="283"/>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March 31, 2026</w:t>
            </w:r>
          </w:p>
        </w:tc>
        <w:tc>
          <w:tcPr>
            <w:tcW w:w="60"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7,579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93,331</w:t>
            </w:r>
          </w:p>
        </w:tc>
        <w:tc>
          <w:tcPr>
            <w:tcW w:w="98" w:type="dxa"/>
            <w:tcBorders/>
            <w:shd w:fill="CCEEFF" w:val="clear"/>
            <w:vAlign w:val="center"/>
          </w:tcPr>
          <w:p>
            <w:pPr>
              <w:pStyle w:val="TableContents"/>
              <w:bidi w:val="0"/>
              <w:spacing w:before="0" w:after="283"/>
              <w:jc w:val="left"/>
            </w:pPr>
            <w:r>
              <w:t> </w:t>
            </w:r>
          </w:p>
        </w:tc>
      </w:tr>
      <w:t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left"/>
            </w:pPr>
            <w:r>
              <w:t> </w:t>
            </w:r>
          </w:p>
        </w:tc>
        <w:tc>
          <w:tcPr>
            <w:tcW w:w="1521"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jc w:val="left"/>
            </w:pPr>
            <w:r>
              <w:t> </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1110" w:type="dxa"/>
            <w:tcBorders/>
            <w:shd w:fill="FFFFFF" w:val="clear"/>
            <w:vAlign w:val="center"/>
          </w:tcPr>
          <w:p>
            <w:pPr>
              <w:pStyle w:val="TableContents"/>
              <w:bidi w:val="0"/>
              <w:spacing w:before="0" w:after="283"/>
              <w:jc w:val="right"/>
            </w:pPr>
            <w:r>
              <w:rPr>
                <w:rStyle w:val="Emphasis"/>
              </w:rPr>
              <w:t>—</w:t>
            </w:r>
          </w:p>
        </w:tc>
        <w:tc>
          <w:tcPr>
            <w:tcW w:w="98" w:type="dxa"/>
            <w:tcBorders/>
            <w:shd w:fill="FFFFFF" w:val="clear"/>
            <w:vAlign w:val="center"/>
          </w:tcPr>
          <w:p>
            <w:pPr>
              <w:pStyle w:val="TableContents"/>
              <w:bidi w:val="0"/>
              <w:spacing w:before="0" w:after="283"/>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pPr>
            <w:r>
              <w:t> </w:t>
            </w:r>
          </w:p>
        </w:tc>
        <w:tc>
          <w:tcPr>
            <w:tcW w:w="1229" w:type="dxa"/>
            <w:tcBorders/>
            <w:shd w:fill="CCEEFF" w:val="clear"/>
            <w:vAlign w:val="center"/>
          </w:tcPr>
          <w:p>
            <w:pPr>
              <w:pStyle w:val="TableContents"/>
              <w:bidi w:val="0"/>
              <w:spacing w:before="0" w:after="283"/>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111,586</w:t>
            </w:r>
          </w:p>
        </w:tc>
        <w:tc>
          <w:tcPr>
            <w:tcW w:w="98" w:type="dxa"/>
            <w:tcBorders/>
            <w:shd w:fill="CCEEFF" w:val="clear"/>
            <w:vAlign w:val="center"/>
          </w:tcPr>
          <w:p>
            <w:pPr>
              <w:pStyle w:val="TableContents"/>
              <w:bidi w:val="0"/>
              <w:spacing w:before="0" w:after="283"/>
              <w:jc w:val="left"/>
            </w:pPr>
            <w:r>
              <w:t> </w:t>
            </w:r>
          </w:p>
        </w:tc>
      </w:tr>
      <w:t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left"/>
            </w:pPr>
            <w:r>
              <w:t> </w:t>
            </w:r>
          </w:p>
        </w:tc>
        <w:tc>
          <w:tcPr>
            <w:tcW w:w="1521"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jc w:val="left"/>
            </w:pPr>
            <w:r>
              <w:t> </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1110" w:type="dxa"/>
            <w:tcBorders/>
            <w:shd w:fill="FFFFFF" w:val="clear"/>
            <w:vAlign w:val="center"/>
          </w:tcPr>
          <w:p>
            <w:pPr>
              <w:pStyle w:val="TableContents"/>
              <w:bidi w:val="0"/>
              <w:spacing w:before="0" w:after="283"/>
              <w:jc w:val="right"/>
            </w:pPr>
            <w:r>
              <w:rPr>
                <w:rStyle w:val="Emphasis"/>
              </w:rPr>
              <w:t>—</w:t>
            </w:r>
          </w:p>
        </w:tc>
        <w:tc>
          <w:tcPr>
            <w:tcW w:w="98" w:type="dxa"/>
            <w:tcBorders/>
            <w:shd w:fill="FFFFFF" w:val="clear"/>
            <w:vAlign w:val="center"/>
          </w:tcPr>
          <w:p>
            <w:pPr>
              <w:pStyle w:val="TableContents"/>
              <w:bidi w:val="0"/>
              <w:spacing w:before="0" w:after="283"/>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left"/>
            </w:pPr>
            <w:r>
              <w:t> </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pPr>
            <w:r>
              <w:t> </w:t>
            </w:r>
          </w:p>
        </w:tc>
        <w:tc>
          <w:tcPr>
            <w:tcW w:w="1229" w:type="dxa"/>
            <w:tcBorders/>
            <w:shd w:fill="CCEEFF" w:val="clear"/>
            <w:vAlign w:val="center"/>
          </w:tcPr>
          <w:p>
            <w:pPr>
              <w:pStyle w:val="TableContents"/>
              <w:bidi w:val="0"/>
              <w:spacing w:before="0" w:after="283"/>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(95,326</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pPr>
            <w:r>
              <w:t> </w:t>
            </w:r>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5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98" w:type="dxa"/>
            <w:tcBorders/>
            <w:shd w:fill="FFFFFF" w:val="clear"/>
            <w:vAlign w:val="center"/>
          </w:tcPr>
          <w:p>
            <w:pPr>
              <w:pStyle w:val="TableContents"/>
              <w:bidi w:val="0"/>
              <w:spacing w:before="0" w:after="0"/>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2026</w:t>
            </w:r>
          </w:p>
        </w:tc>
        <w:tc>
          <w:tcPr>
            <w:tcW w:w="60" w:type="dxa"/>
            <w:tcBorders/>
            <w:shd w:fill="CCEEFF" w:val="clear"/>
            <w:vAlign w:val="center"/>
          </w:tcPr>
          <w:p>
            <w:pPr>
              <w:pStyle w:val="TableContents"/>
              <w:bidi w:val="0"/>
              <w:spacing w:before="0" w:after="283"/>
              <w:ind w:left="0" w:right="0" w:hanging="0"/>
              <w:jc w:val="left"/>
            </w:pPr>
            <w: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109,594</w:t>
            </w:r>
          </w:p>
        </w:tc>
        <w:tc>
          <w:tcPr>
            <w:tcW w:w="98"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tbl>
      <w:tblPr>
        <w:tblW w:w="10205" w:type="dxa"/>
        <w:jc w:val="left"/>
        <w:tblInd w:w="0" w:type="dxa"/>
        <w:tblLayout w:type="fixed"/>
        <w:tblCellMar>
          <w:top w:w="0" w:type="dxa"/>
          <w:left w:w="0" w:type="dxa"/>
          <w:bottom w:w="0" w:type="dxa"/>
          <w:right w:w="0" w:type="dxa"/>
        </w:tblCellMar>
      </w:tblPr>
      <w:tblGrid>
        <w:gridCol w:w="5183"/>
        <w:gridCol w:w="60"/>
        <w:gridCol w:w="290"/>
        <w:gridCol w:w="1521"/>
        <w:gridCol w:w="80"/>
        <w:gridCol w:w="60"/>
        <w:gridCol w:w="236"/>
        <w:gridCol w:w="1229"/>
        <w:gridCol w:w="80"/>
        <w:gridCol w:w="60"/>
        <w:gridCol w:w="210"/>
        <w:gridCol w:w="1098"/>
        <w:gridCol w:w="98"/>
      </w:tblGrid>
      <w:tr>
        <w:tc>
          <w:tcPr>
            <w:tcW w:w="518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Contract Liabilities</w:t>
            </w:r>
          </w:p>
        </w:tc>
        <w:tc>
          <w:tcPr>
            <w:tcW w:w="98" w:type="dxa"/>
            <w:tcBorders/>
            <w:shd w:fill="FFFFFF" w:val="clear"/>
            <w:vAlign w:val="center"/>
          </w:tcPr>
          <w:p>
            <w:pPr>
              <w:pStyle w:val="TableContents"/>
              <w:bidi w:val="0"/>
              <w:spacing w:before="0" w:after="283"/>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2025</w:t>
            </w:r>
          </w:p>
        </w:tc>
        <w:tc>
          <w:tcPr>
            <w:tcW w:w="60" w:type="dxa"/>
            <w:tcBorders/>
            <w:shd w:fill="CCEEFF" w:val="clear"/>
            <w:vAlign w:val="center"/>
          </w:tcPr>
          <w:p>
            <w:pPr>
              <w:pStyle w:val="TableContents"/>
              <w:bidi w:val="0"/>
              <w:spacing w:before="0" w:after="283"/>
              <w:ind w:left="0" w:right="0" w:hanging="0"/>
              <w:jc w:val="left"/>
            </w:pPr>
            <w: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76,133</w:t>
            </w:r>
          </w:p>
        </w:tc>
        <w:tc>
          <w:tcPr>
            <w:tcW w:w="98" w:type="dxa"/>
            <w:tcBorders/>
            <w:shd w:fill="CCEEFF" w:val="clear"/>
            <w:vAlign w:val="center"/>
          </w:tcPr>
          <w:p>
            <w:pPr>
              <w:pStyle w:val="TableContents"/>
              <w:bidi w:val="0"/>
              <w:spacing w:before="0" w:after="283"/>
              <w:ind w:left="0" w:right="0" w:hanging="0"/>
              <w:jc w:val="left"/>
            </w:pPr>
            <w:r>
              <w:t> </w:t>
            </w:r>
          </w:p>
        </w:tc>
      </w:tr>
      <w:t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pPr>
            <w:r>
              <w:t> </w:t>
            </w:r>
          </w:p>
        </w:tc>
        <w:tc>
          <w:tcPr>
            <w:tcW w:w="290" w:type="dxa"/>
            <w:tcBorders/>
            <w:shd w:fill="FFFFFF" w:val="clear"/>
            <w:vAlign w:val="center"/>
          </w:tcPr>
          <w:p>
            <w:pPr>
              <w:pStyle w:val="TableContents"/>
              <w:bidi w:val="0"/>
              <w:spacing w:before="0" w:after="0"/>
              <w:ind w:left="0" w:right="0" w:hanging="0"/>
              <w:jc w:val="left"/>
            </w:pPr>
            <w:r>
              <w:t> </w:t>
            </w:r>
          </w:p>
        </w:tc>
        <w:tc>
          <w:tcPr>
            <w:tcW w:w="1521" w:type="dxa"/>
            <w:tcBorders/>
            <w:shd w:fill="FFFFFF" w:val="clear"/>
            <w:vAlign w:val="center"/>
          </w:tcPr>
          <w:p>
            <w:pPr>
              <w:pStyle w:val="TableContents"/>
              <w:bidi w:val="0"/>
              <w:spacing w:before="0" w:after="0"/>
              <w:ind w:left="0" w:right="0" w:hanging="0"/>
              <w:jc w:val="right"/>
            </w:pPr>
            <w:r>
              <w:rPr>
                <w:rStyle w:val="Emphasis"/>
              </w:rPr>
              <w:t>—</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36" w:type="dxa"/>
            <w:tcBorders/>
            <w:shd w:fill="FFFFFF" w:val="clear"/>
            <w:vAlign w:val="center"/>
          </w:tcPr>
          <w:p>
            <w:pPr>
              <w:pStyle w:val="TableContents"/>
              <w:bidi w:val="0"/>
              <w:spacing w:before="0" w:after="0"/>
              <w:ind w:left="0" w:right="0" w:hanging="0"/>
              <w:jc w:val="left"/>
            </w:pPr>
            <w:r>
              <w:t> </w:t>
            </w:r>
          </w:p>
        </w:tc>
        <w:tc>
          <w:tcPr>
            <w:tcW w:w="122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15,934</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0" w:type="dxa"/>
            <w:tcBorders/>
            <w:shd w:fill="FFFFFF" w:val="clear"/>
            <w:vAlign w:val="center"/>
          </w:tcPr>
          <w:p>
            <w:pPr>
              <w:pStyle w:val="TableContents"/>
              <w:bidi w:val="0"/>
              <w:spacing w:before="0" w:after="0"/>
              <w:ind w:left="0" w:right="0" w:hanging="0"/>
              <w:jc w:val="left"/>
            </w:pPr>
            <w:r>
              <w:t> </w:t>
            </w:r>
          </w:p>
        </w:tc>
        <w:tc>
          <w:tcPr>
            <w:tcW w:w="1098" w:type="dxa"/>
            <w:tcBorders/>
            <w:shd w:fill="FFFFFF" w:val="clear"/>
            <w:vAlign w:val="center"/>
          </w:tcPr>
          <w:p>
            <w:pPr>
              <w:pStyle w:val="TableContents"/>
              <w:bidi w:val="0"/>
              <w:spacing w:before="0" w:after="0"/>
              <w:ind w:left="0" w:right="0" w:hanging="0"/>
              <w:jc w:val="right"/>
            </w:pPr>
            <w:r>
              <w:rPr>
                <w:rStyle w:val="Emphasis"/>
              </w:rPr>
              <w:t>—</w:t>
            </w:r>
          </w:p>
        </w:tc>
        <w:tc>
          <w:tcPr>
            <w:tcW w:w="98" w:type="dxa"/>
            <w:tcBorders/>
            <w:shd w:fill="FFFFFF" w:val="clear"/>
            <w:vAlign w:val="center"/>
          </w:tcPr>
          <w:p>
            <w:pPr>
              <w:pStyle w:val="TableContents"/>
              <w:bidi w:val="0"/>
              <w:spacing w:before="0" w:after="0"/>
              <w:ind w:left="0" w:right="0" w:hanging="0"/>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0"/>
              <w:ind w:left="0" w:right="0" w:hanging="0"/>
              <w:jc w:val="left"/>
            </w:pPr>
            <w:r>
              <w:t> </w:t>
            </w:r>
          </w:p>
        </w:tc>
        <w:tc>
          <w:tcPr>
            <w:tcW w:w="290" w:type="dxa"/>
            <w:tcBorders/>
            <w:shd w:fill="CCEEFF" w:val="clear"/>
            <w:vAlign w:val="center"/>
          </w:tcPr>
          <w:p>
            <w:pPr>
              <w:pStyle w:val="TableContents"/>
              <w:bidi w:val="0"/>
              <w:spacing w:before="0" w:after="0"/>
              <w:ind w:left="0" w:right="0" w:hanging="0"/>
              <w:jc w:val="left"/>
            </w:pPr>
            <w:r>
              <w:t> </w:t>
            </w:r>
          </w:p>
        </w:tc>
        <w:tc>
          <w:tcPr>
            <w:tcW w:w="1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36" w:type="dxa"/>
            <w:tcBorders/>
            <w:shd w:fill="CCEEFF" w:val="clear"/>
            <w:vAlign w:val="center"/>
          </w:tcPr>
          <w:p>
            <w:pPr>
              <w:pStyle w:val="TableContents"/>
              <w:bidi w:val="0"/>
              <w:spacing w:before="0" w:after="0"/>
              <w:ind w:left="0" w:right="0" w:hanging="0"/>
              <w:jc w:val="left"/>
            </w:pPr>
            <w:r>
              <w:t> </w:t>
            </w:r>
          </w:p>
        </w:tc>
        <w:tc>
          <w:tcPr>
            <w:tcW w:w="1229" w:type="dxa"/>
            <w:tcBorders/>
            <w:shd w:fill="CCEEFF" w:val="clear"/>
            <w:vAlign w:val="center"/>
          </w:tcPr>
          <w:p>
            <w:pPr>
              <w:pStyle w:val="TableContents"/>
              <w:bidi w:val="0"/>
              <w:spacing w:before="0" w:after="0"/>
              <w:ind w:left="0" w:right="0" w:hanging="0"/>
              <w:jc w:val="right"/>
            </w:pPr>
            <w:r>
              <w:rPr>
                <w:rStyle w:val="Emphasis"/>
              </w:rPr>
              <w:t>—</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10" w:type="dxa"/>
            <w:tcBorders/>
            <w:shd w:fill="CCEEFF" w:val="clear"/>
            <w:vAlign w:val="center"/>
          </w:tcPr>
          <w:p>
            <w:pPr>
              <w:pStyle w:val="TableContents"/>
              <w:bidi w:val="0"/>
              <w:spacing w:before="0" w:after="0"/>
              <w:ind w:left="0" w:right="0" w:hanging="0"/>
              <w:jc w:val="left"/>
            </w:pPr>
            <w: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47,765</w:t>
            </w:r>
          </w:p>
        </w:tc>
        <w:tc>
          <w:tcPr>
            <w:tcW w:w="98" w:type="dxa"/>
            <w:tcBorders/>
            <w:shd w:fill="CCEEFF" w:val="clear"/>
            <w:vAlign w:val="center"/>
          </w:tcPr>
          <w:p>
            <w:pPr>
              <w:pStyle w:val="TableContents"/>
              <w:bidi w:val="0"/>
              <w:spacing w:before="0" w:after="0"/>
              <w:ind w:left="0" w:right="0" w:hanging="0"/>
              <w:jc w:val="left"/>
            </w:pPr>
            <w:r>
              <w:t> </w:t>
            </w:r>
          </w:p>
        </w:tc>
      </w:tr>
      <w:t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pPr>
            <w:r>
              <w:t> </w:t>
            </w:r>
          </w:p>
        </w:tc>
        <w:tc>
          <w:tcPr>
            <w:tcW w:w="290" w:type="dxa"/>
            <w:tcBorders/>
            <w:shd w:fill="FFFFFF" w:val="clear"/>
            <w:vAlign w:val="center"/>
          </w:tcPr>
          <w:p>
            <w:pPr>
              <w:pStyle w:val="TableContents"/>
              <w:bidi w:val="0"/>
              <w:spacing w:before="0" w:after="0"/>
              <w:ind w:left="0" w:right="0" w:hanging="0"/>
              <w:jc w:val="left"/>
            </w:pPr>
            <w:r>
              <w:t> </w:t>
            </w:r>
          </w:p>
        </w:tc>
        <w:tc>
          <w:tcPr>
            <w:tcW w:w="1521" w:type="dxa"/>
            <w:tcBorders/>
            <w:shd w:fill="FFFFFF" w:val="clear"/>
            <w:vAlign w:val="center"/>
          </w:tcPr>
          <w:p>
            <w:pPr>
              <w:pStyle w:val="TableContents"/>
              <w:bidi w:val="0"/>
              <w:spacing w:before="0" w:after="0"/>
              <w:ind w:left="0" w:right="0" w:hanging="0"/>
              <w:jc w:val="right"/>
            </w:pPr>
            <w:r>
              <w:rPr>
                <w:rStyle w:val="Emphasis"/>
              </w:rPr>
              <w:t>—</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36" w:type="dxa"/>
            <w:tcBorders/>
            <w:shd w:fill="FFFFFF" w:val="clear"/>
            <w:vAlign w:val="center"/>
          </w:tcPr>
          <w:p>
            <w:pPr>
              <w:pStyle w:val="TableContents"/>
              <w:bidi w:val="0"/>
              <w:spacing w:before="0" w:after="0"/>
              <w:ind w:left="0" w:right="0" w:hanging="0"/>
              <w:jc w:val="left"/>
            </w:pPr>
            <w:r>
              <w:t> </w:t>
            </w:r>
          </w:p>
        </w:tc>
        <w:tc>
          <w:tcPr>
            <w:tcW w:w="122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10" w:type="dxa"/>
            <w:tcBorders/>
            <w:shd w:fill="FFFFFF" w:val="clear"/>
            <w:vAlign w:val="center"/>
          </w:tcPr>
          <w:p>
            <w:pPr>
              <w:pStyle w:val="TableContents"/>
              <w:bidi w:val="0"/>
              <w:spacing w:before="0" w:after="0"/>
              <w:ind w:left="0" w:right="0" w:hanging="0"/>
              <w:jc w:val="left"/>
            </w:pPr>
            <w:r>
              <w:t> </w:t>
            </w:r>
          </w:p>
        </w:tc>
        <w:tc>
          <w:tcPr>
            <w:tcW w:w="1098" w:type="dxa"/>
            <w:tcBorders/>
            <w:shd w:fill="FFFFFF" w:val="clear"/>
            <w:vAlign w:val="center"/>
          </w:tcPr>
          <w:p>
            <w:pPr>
              <w:pStyle w:val="TableContents"/>
              <w:bidi w:val="0"/>
              <w:spacing w:before="0" w:after="0"/>
              <w:ind w:left="0" w:right="0" w:hanging="0"/>
              <w:jc w:val="right"/>
            </w:pPr>
            <w:r>
              <w:rPr>
                <w:rStyle w:val="Emphasis"/>
              </w:rPr>
              <w:t>—</w:t>
            </w:r>
          </w:p>
        </w:tc>
        <w:tc>
          <w:tcPr>
            <w:tcW w:w="98" w:type="dxa"/>
            <w:tcBorders/>
            <w:shd w:fill="FFFFFF" w:val="clear"/>
            <w:vAlign w:val="center"/>
          </w:tcPr>
          <w:p>
            <w:pPr>
              <w:pStyle w:val="TableContents"/>
              <w:bidi w:val="0"/>
              <w:spacing w:before="0" w:after="0"/>
              <w:ind w:left="0" w:right="0" w:hanging="0"/>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pPr>
            <w:r>
              <w:t> </w:t>
            </w:r>
          </w:p>
        </w:tc>
        <w:tc>
          <w:tcPr>
            <w:tcW w:w="290" w:type="dxa"/>
            <w:tcBorders/>
            <w:shd w:fill="CCEEFF" w:val="clear"/>
            <w:vAlign w:val="center"/>
          </w:tcPr>
          <w:p>
            <w:pPr>
              <w:pStyle w:val="TableContents"/>
              <w:bidi w:val="0"/>
              <w:spacing w:before="0" w:after="0"/>
              <w:ind w:left="0" w:right="0" w:hanging="0"/>
              <w:jc w:val="left"/>
            </w:pPr>
            <w:r>
              <w:t> </w:t>
            </w:r>
          </w:p>
        </w:tc>
        <w:tc>
          <w:tcPr>
            <w:tcW w:w="1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12,207</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36" w:type="dxa"/>
            <w:tcBorders/>
            <w:shd w:fill="CCEEFF" w:val="clear"/>
            <w:vAlign w:val="center"/>
          </w:tcPr>
          <w:p>
            <w:pPr>
              <w:pStyle w:val="TableContents"/>
              <w:bidi w:val="0"/>
              <w:spacing w:before="0" w:after="0"/>
              <w:ind w:left="0" w:right="0" w:hanging="0"/>
              <w:jc w:val="left"/>
            </w:pPr>
            <w:r>
              <w:t> </w:t>
            </w:r>
          </w:p>
        </w:tc>
        <w:tc>
          <w:tcPr>
            <w:tcW w:w="1229" w:type="dxa"/>
            <w:tcBorders/>
            <w:shd w:fill="CCEEFF" w:val="clear"/>
            <w:vAlign w:val="center"/>
          </w:tcPr>
          <w:p>
            <w:pPr>
              <w:pStyle w:val="TableContents"/>
              <w:bidi w:val="0"/>
              <w:spacing w:before="0" w:after="0"/>
              <w:ind w:left="0" w:right="0" w:hanging="0"/>
              <w:jc w:val="right"/>
            </w:pPr>
            <w:r>
              <w:rPr>
                <w:rStyle w:val="Emphasis"/>
              </w:rPr>
              <w:t>—</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10" w:type="dxa"/>
            <w:tcBorders/>
            <w:shd w:fill="CCEEFF" w:val="clear"/>
            <w:vAlign w:val="center"/>
          </w:tcPr>
          <w:p>
            <w:pPr>
              <w:pStyle w:val="TableContents"/>
              <w:bidi w:val="0"/>
              <w:spacing w:before="0" w:after="0"/>
              <w:ind w:left="0" w:right="0" w:hanging="0"/>
              <w:jc w:val="left"/>
            </w:pPr>
            <w: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(61,496</w:t>
            </w:r>
          </w:p>
        </w:tc>
        <w:tc>
          <w:tcPr>
            <w:tcW w:w="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pPr>
            <w:r>
              <w:t> </w:t>
            </w:r>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5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c>
          <w:tcPr>
            <w:tcW w:w="98" w:type="dxa"/>
            <w:tcBorders/>
            <w:shd w:fill="FFFFFF" w:val="clear"/>
            <w:vAlign w:val="center"/>
          </w:tcPr>
          <w:p>
            <w:pPr>
              <w:pStyle w:val="TableContents"/>
              <w:bidi w:val="0"/>
              <w:spacing w:before="0" w:after="0"/>
              <w:jc w:val="left"/>
            </w:pPr>
            <w:r>
              <w:t> </w:t>
            </w:r>
          </w:p>
        </w:tc>
      </w:tr>
      <w:t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2025</w:t>
            </w:r>
          </w:p>
        </w:tc>
        <w:tc>
          <w:tcPr>
            <w:tcW w:w="60" w:type="dxa"/>
            <w:tcBorders/>
            <w:shd w:fill="CCEEFF" w:val="clear"/>
            <w:vAlign w:val="center"/>
          </w:tcPr>
          <w:p>
            <w:pPr>
              <w:pStyle w:val="TableContents"/>
              <w:bidi w:val="0"/>
              <w:spacing w:before="0" w:after="283"/>
              <w:ind w:left="0" w:right="0" w:hanging="0"/>
              <w:jc w:val="left"/>
            </w:pPr>
            <w: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63,390</w:t>
            </w:r>
          </w:p>
        </w:tc>
        <w:tc>
          <w:tcPr>
            <w:tcW w:w="98"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September 30, 2026</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$319.5 </w:t>
      </w:r>
      <w:r>
        <w:rPr>
          <w:rFonts w:ascii="Times New Roman;Times;serif" w:hAnsi="Times New Roman;Times;serif"/>
          <w:sz w:val="20"/>
          <w:shd w:fill="FFFFFF" w:val="clear"/>
        </w:rPr>
        <w:t>million</w:t>
      </w:r>
      <w:r>
        <w:rPr>
          <w:rFonts w:ascii="Times New Roman;Times;serif" w:hAnsi="Times New Roman;Times;serif"/>
          <w:sz w:val="20"/>
        </w:rPr>
        <w:t>. There are also approximately $103.6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pPr>
      <w:r>
        <w:t> </w:t>
      </w:r>
    </w:p>
    <w:p>
      <w:pPr>
        <w:pStyle w:val="TextBody"/>
        <w:bidi w:val="0"/>
        <w:spacing w:before="0" w:after="0"/>
        <w:ind w:left="0" w:right="0" w:firstLine="720"/>
        <w:jc w:val="both"/>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left"/>
      </w:pPr>
      <w:r>
        <w:t> </w:t>
      </w:r>
    </w:p>
    <w:tbl>
      <w:tblPr>
        <w:tblW w:w="6446" w:type="dxa"/>
        <w:jc w:val="left"/>
        <w:tblInd w:w="0" w:type="dxa"/>
        <w:tblLayout w:type="fixed"/>
        <w:tblCellMar>
          <w:top w:w="0" w:type="dxa"/>
          <w:left w:w="0" w:type="dxa"/>
          <w:bottom w:w="0" w:type="dxa"/>
          <w:right w:w="0" w:type="dxa"/>
        </w:tblCellMar>
      </w:tblPr>
      <w:tblGrid>
        <w:gridCol w:w="1580"/>
        <w:gridCol w:w="950"/>
        <w:gridCol w:w="60"/>
        <w:gridCol w:w="96"/>
        <w:gridCol w:w="803"/>
        <w:gridCol w:w="297"/>
        <w:gridCol w:w="96"/>
        <w:gridCol w:w="103"/>
        <w:gridCol w:w="396"/>
        <w:gridCol w:w="185"/>
        <w:gridCol w:w="60"/>
        <w:gridCol w:w="84"/>
        <w:gridCol w:w="707"/>
        <w:gridCol w:w="261"/>
        <w:gridCol w:w="84"/>
        <w:gridCol w:w="103"/>
        <w:gridCol w:w="396"/>
        <w:gridCol w:w="185"/>
      </w:tblGrid>
      <w:tr>
        <w:tc>
          <w:tcPr>
            <w:tcW w:w="1580"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1791"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5"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w:t>
            </w:r>
          </w:p>
        </w:tc>
        <w:tc>
          <w:tcPr>
            <w:tcW w:w="185" w:type="dxa"/>
            <w:tcBorders/>
            <w:shd w:fill="FFFFFF" w:val="clear"/>
            <w:vAlign w:val="center"/>
          </w:tcPr>
          <w:p>
            <w:pPr>
              <w:pStyle w:val="TableContents"/>
              <w:bidi w:val="0"/>
              <w:spacing w:before="0" w:after="283"/>
              <w:jc w:val="left"/>
            </w:pPr>
            <w:r>
              <w:t> </w:t>
            </w:r>
          </w:p>
        </w:tc>
      </w:tr>
      <w:tr>
        <w:tc>
          <w:tcPr>
            <w:tcW w:w="158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pPr>
            <w:r>
              <w:t> </w:t>
            </w:r>
          </w:p>
        </w:tc>
        <w:tc>
          <w:tcPr>
            <w:tcW w:w="17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pPr>
            <w:r>
              <w:t> </w:t>
            </w:r>
          </w:p>
        </w:tc>
      </w:tr>
      <w:tr>
        <w:tc>
          <w:tcPr>
            <w:tcW w:w="1580" w:type="dxa"/>
            <w:tcBorders/>
            <w:shd w:fill="FFFFFF" w:val="cle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pPr>
            <w: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297"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4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261"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4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r>
      <w:t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ind w:left="0" w:right="0" w:hanging="0"/>
              <w:jc w:val="left"/>
            </w:pPr>
            <w:r>
              <w:t> </w:t>
            </w:r>
          </w:p>
        </w:tc>
        <w:tc>
          <w:tcPr>
            <w:tcW w:w="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ind w:left="0" w:right="0" w:hanging="0"/>
              <w:jc w:val="left"/>
            </w:pPr>
            <w: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ind w:left="0" w:right="0" w:hanging="0"/>
              <w:jc w:val="left"/>
            </w:pPr>
            <w:r>
              <w:t> </w:t>
            </w:r>
          </w:p>
        </w:tc>
        <w:tc>
          <w:tcPr>
            <w:tcW w:w="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Anovion LLC</w:t>
            </w:r>
          </w:p>
        </w:tc>
        <w:tc>
          <w:tcPr>
            <w:tcW w:w="950"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803" w:type="dxa"/>
            <w:tcBorders/>
            <w:shd w:fill="FFFFFF" w:val="clear"/>
            <w:vAlign w:val="center"/>
          </w:tcPr>
          <w:p>
            <w:pPr>
              <w:pStyle w:val="TableContents"/>
              <w:bidi w:val="0"/>
              <w:spacing w:before="0" w:after="283"/>
              <w:ind w:left="0" w:right="0" w:hanging="0"/>
              <w:jc w:val="right"/>
            </w:pPr>
            <w:r>
              <w:t>—</w:t>
            </w:r>
          </w:p>
        </w:tc>
        <w:tc>
          <w:tcPr>
            <w:tcW w:w="297"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103" w:type="dxa"/>
            <w:tcBorders/>
            <w:shd w:fill="FFFFFF" w:val="clear"/>
            <w:vAlign w:val="center"/>
          </w:tcPr>
          <w:p>
            <w:pPr>
              <w:pStyle w:val="TableContents"/>
              <w:bidi w:val="0"/>
              <w:spacing w:before="0" w:after="283"/>
              <w:ind w:left="0" w:right="0" w:hanging="0"/>
              <w:jc w:val="left"/>
            </w:pPr>
            <w:r>
              <w:t> </w:t>
            </w:r>
          </w:p>
        </w:tc>
        <w:tc>
          <w:tcPr>
            <w:tcW w:w="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707" w:type="dxa"/>
            <w:tcBorders/>
            <w:shd w:fill="FFFFFF" w:val="clear"/>
            <w:vAlign w:val="center"/>
          </w:tcPr>
          <w:p>
            <w:pPr>
              <w:pStyle w:val="TableContents"/>
              <w:bidi w:val="0"/>
              <w:spacing w:before="0" w:after="283"/>
              <w:ind w:left="0" w:right="0" w:hanging="0"/>
              <w:jc w:val="right"/>
            </w:pPr>
            <w:r>
              <w:t>—</w:t>
            </w:r>
          </w:p>
        </w:tc>
        <w:tc>
          <w:tcPr>
            <w:tcW w:w="261"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49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FFFFFF" w:val="clear"/>
            <w:vAlign w:val="center"/>
          </w:tcPr>
          <w:p>
            <w:pPr>
              <w:pStyle w:val="TableContents"/>
              <w:bidi w:val="0"/>
              <w:spacing w:before="0" w:after="283"/>
              <w:jc w:val="left"/>
            </w:pPr>
            <w:r>
              <w:t> </w:t>
            </w:r>
          </w:p>
        </w:tc>
      </w:tr>
      <w:t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Fuji Bridex Pte Ltd</w:t>
            </w:r>
          </w:p>
        </w:tc>
        <w:tc>
          <w:tcPr>
            <w:tcW w:w="950"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&lt;10%</w:t>
            </w:r>
          </w:p>
        </w:tc>
        <w:tc>
          <w:tcPr>
            <w:tcW w:w="297"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49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ind w:left="0" w:right="0" w:hanging="0"/>
              <w:jc w:val="left"/>
            </w:pPr>
            <w: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&lt;10%</w:t>
            </w:r>
          </w:p>
        </w:tc>
        <w:tc>
          <w:tcPr>
            <w:tcW w:w="261"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ind w:left="0" w:right="0" w:hanging="0"/>
              <w:jc w:val="left"/>
            </w:pPr>
            <w:r>
              <w:t> </w:t>
            </w:r>
          </w:p>
        </w:tc>
        <w:tc>
          <w:tcPr>
            <w:tcW w:w="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4.</w:t>
      </w:r>
      <w:r>
        <w:rPr>
          <w:rFonts w:ascii="Times New Roman;Times;serif" w:hAnsi="Times New Roman;Times;serif"/>
          <w:b/>
          <w:sz w:val="20"/>
        </w:rPr>
        <w:t xml:space="preserve"> Stock-Based Compensation</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(in thousands):</w:t>
      </w:r>
    </w:p>
    <w:p>
      <w:pPr>
        <w:pStyle w:val="TextBody"/>
        <w:bidi w:val="0"/>
        <w:spacing w:before="0" w:after="0"/>
        <w:ind w:left="0" w:right="0" w:hanging="0"/>
        <w:jc w:val="both"/>
      </w:pPr>
      <w:r>
        <w:t> </w:t>
      </w:r>
    </w:p>
    <w:tbl>
      <w:tblPr>
        <w:tblW w:w="8829" w:type="dxa"/>
        <w:jc w:val="left"/>
        <w:tblInd w:w="0" w:type="dxa"/>
        <w:tblLayout w:type="fixed"/>
        <w:tblCellMar>
          <w:top w:w="0" w:type="dxa"/>
          <w:left w:w="0" w:type="dxa"/>
          <w:bottom w:w="0" w:type="dxa"/>
          <w:right w:w="0" w:type="dxa"/>
        </w:tblCellMar>
      </w:tblPr>
      <w:tblGrid>
        <w:gridCol w:w="2855"/>
        <w:gridCol w:w="60"/>
        <w:gridCol w:w="277"/>
        <w:gridCol w:w="1076"/>
        <w:gridCol w:w="133"/>
        <w:gridCol w:w="133"/>
        <w:gridCol w:w="277"/>
        <w:gridCol w:w="1076"/>
        <w:gridCol w:w="60"/>
        <w:gridCol w:w="60"/>
        <w:gridCol w:w="239"/>
        <w:gridCol w:w="1128"/>
        <w:gridCol w:w="114"/>
        <w:gridCol w:w="114"/>
        <w:gridCol w:w="239"/>
        <w:gridCol w:w="928"/>
        <w:gridCol w:w="60"/>
      </w:tblGrid>
      <w:tr>
        <w:tc>
          <w:tcPr>
            <w:tcW w:w="28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28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4"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114"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60" w:type="dxa"/>
            <w:tcBorders/>
            <w:shd w:fill="CCEEFF" w:val="clear"/>
            <w:vAlign w:val="center"/>
          </w:tcPr>
          <w:p>
            <w:pPr>
              <w:pStyle w:val="TableContents"/>
              <w:bidi w:val="0"/>
              <w:spacing w:before="0" w:after="283"/>
              <w:jc w:val="left"/>
            </w:pPr>
            <w:r>
              <w:t> </w:t>
            </w:r>
          </w:p>
        </w:tc>
      </w:tr>
      <w:t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ind w:left="0" w:right="0" w:hanging="0"/>
              <w:jc w:val="left"/>
            </w:pPr>
            <w:r>
              <w:t> </w:t>
            </w:r>
          </w:p>
        </w:tc>
        <w:tc>
          <w:tcPr>
            <w:tcW w:w="11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w:t>
            </w:r>
          </w:p>
        </w:tc>
        <w:tc>
          <w:tcPr>
            <w:tcW w:w="114"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ind w:left="0" w:right="0" w:hanging="0"/>
              <w:jc w:val="left"/>
            </w:pPr>
            <w: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60" w:type="dxa"/>
            <w:tcBorders/>
            <w:shd w:fill="FFFFFF" w:val="clear"/>
            <w:vAlign w:val="center"/>
          </w:tcPr>
          <w:p>
            <w:pPr>
              <w:pStyle w:val="TableContents"/>
              <w:bidi w:val="0"/>
              <w:spacing w:before="0" w:after="283"/>
              <w:jc w:val="left"/>
            </w:pPr>
            <w:r>
              <w:t> </w:t>
            </w:r>
          </w:p>
        </w:tc>
      </w:tr>
      <w:t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9,473</w:t>
            </w:r>
          </w:p>
        </w:tc>
        <w:tc>
          <w:tcPr>
            <w:tcW w:w="114"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6,488</w:t>
            </w:r>
          </w:p>
        </w:tc>
        <w:tc>
          <w:tcPr>
            <w:tcW w:w="60" w:type="dxa"/>
            <w:tcBorders/>
            <w:shd w:fill="CCEEFF" w:val="clear"/>
            <w:vAlign w:val="center"/>
          </w:tcPr>
          <w:p>
            <w:pPr>
              <w:pStyle w:val="TableContents"/>
              <w:bidi w:val="0"/>
              <w:spacing w:before="0" w:after="283"/>
              <w:jc w:val="left"/>
            </w:pPr>
            <w:r>
              <w:t> </w:t>
            </w:r>
          </w:p>
        </w:tc>
      </w:tr>
      <w:t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6,517</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p>
        </w:tc>
        <w:tc>
          <w:tcPr>
            <w:tcW w:w="114"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both"/>
      </w:pPr>
      <w:r>
        <w:t> </w:t>
      </w:r>
    </w:p>
    <w:p>
      <w:pPr>
        <w:pStyle w:val="TextBody"/>
        <w:bidi w:val="0"/>
        <w:spacing w:before="0" w:after="0"/>
        <w:ind w:left="0" w:right="0" w:firstLine="720"/>
        <w:jc w:val="both"/>
      </w:pPr>
      <w:r>
        <w:rPr>
          <w:rFonts w:ascii="Times New Roman;Times;serif" w:hAnsi="Times New Roman;Times;serif"/>
          <w:sz w:val="20"/>
        </w:rPr>
        <w:t xml:space="preserve">The Company issued 10,500 and 815,900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respectively. The Company issued 1,607 and 19,852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respectively. The Company issued 7,000 and 887,000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respectively. The Company issued no shares and 39,445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respectively.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pPr>
      <w:r>
        <w:t> </w:t>
      </w:r>
    </w:p>
    <w:p>
      <w:pPr>
        <w:pStyle w:val="TextBody"/>
        <w:bidi w:val="0"/>
        <w:spacing w:before="0" w:after="0"/>
        <w:ind w:left="0" w:right="0" w:firstLine="720"/>
        <w:jc w:val="both"/>
      </w:pPr>
      <w:r>
        <w:rPr>
          <w:rFonts w:ascii="Times New Roman;Times;serif" w:hAnsi="Times New Roman;Times;serif"/>
          <w:sz w:val="20"/>
        </w:rPr>
        <w:t>The Company granted no stock options in both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The Company granted no stock options and 2,112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respectively. The stock options granted during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2025</w:t>
      </w:r>
      <w:r>
        <w:rPr>
          <w:rFonts w:ascii="Times New Roman;Times;serif" w:hAnsi="Times New Roman;Times;serif"/>
          <w:sz w:val="20"/>
        </w:rPr>
        <w:t xml:space="preserve"> will vest over 2 years. 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less than $0.1 million of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September 30, 2026</w:t>
      </w:r>
      <w:r>
        <w:rPr>
          <w:rFonts w:ascii="Times New Roman;Times;serif" w:hAnsi="Times New Roman;Times;serif"/>
          <w:sz w:val="20"/>
          <w:shd w:fill="FFFFFF" w:val="clear"/>
        </w:rPr>
        <w:t xml:space="preserve">. </w:t>
      </w:r>
      <w:r>
        <w:rPr>
          <w:rFonts w:ascii="Times New Roman;Times;serif" w:hAnsi="Times New Roman;Times;serif"/>
          <w:sz w:val="20"/>
        </w:rPr>
        <w:t xml:space="preserve">This expense will be recognized over a weighted average period of approximately 0.7 years. </w:t>
      </w:r>
      <w:r>
        <w:rPr>
          <w:rFonts w:ascii="Times New Roman;Times;serif" w:hAnsi="Times New Roman;Times;serif"/>
          <w:sz w:val="20"/>
          <w:shd w:fill="FFFFFF" w:val="clear"/>
        </w:rPr>
        <w:t xml:space="preserve">The total unrecognized compensation cost for unvested outstanding restricted stock was </w:t>
      </w:r>
      <w:r>
        <w:rPr>
          <w:rFonts w:ascii="Times New Roman;Times;serif" w:hAnsi="Times New Roman;Times;serif"/>
          <w:sz w:val="20"/>
        </w:rPr>
        <w:t>$48.2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shd w:fill="FFFFFF" w:val="clear"/>
        </w:rPr>
        <w:t>. This expense will be recognized over a weighted-average expense period of approximately 1.8 years.</w:t>
      </w:r>
    </w:p>
    <w:p>
      <w:pPr>
        <w:pStyle w:val="TextBody"/>
        <w:bidi w:val="0"/>
        <w:spacing w:before="0" w:after="0"/>
        <w:ind w:left="0" w:right="0" w:firstLine="720"/>
        <w:jc w:val="both"/>
      </w:pPr>
      <w:r>
        <w:t> </w:t>
      </w:r>
    </w:p>
    <w:p>
      <w:pPr>
        <w:pStyle w:val="TextBody"/>
        <w:bidi w:val="0"/>
        <w:spacing w:before="0" w:after="0"/>
        <w:jc w:val="cente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pPr>
      <w:r>
        <w:rPr>
          <w:rFonts w:ascii="Times New Roman;Times;serif" w:hAnsi="Times New Roman;Times;serif"/>
          <w:sz w:val="20"/>
        </w:rPr>
        <w:t>The weighted average assumptions used in the Black Scholes valuation model for stock options granted during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2025</w:t>
      </w:r>
      <w:r>
        <w:rPr>
          <w:rFonts w:ascii="Times New Roman;Times;serif" w:hAnsi="Times New Roman;Times;serif"/>
          <w:sz w:val="20"/>
        </w:rPr>
        <w:t> are as follows:</w:t>
      </w:r>
    </w:p>
    <w:p>
      <w:pPr>
        <w:pStyle w:val="TextBody"/>
        <w:bidi w:val="0"/>
        <w:spacing w:before="0" w:after="0"/>
        <w:ind w:left="0" w:right="0" w:hanging="0"/>
        <w:jc w:val="both"/>
      </w:pPr>
      <w:r>
        <w:t> </w:t>
      </w:r>
    </w:p>
    <w:tbl>
      <w:tblPr>
        <w:tblW w:w="4754" w:type="dxa"/>
        <w:jc w:val="left"/>
        <w:tblInd w:w="0" w:type="dxa"/>
        <w:tblLayout w:type="fixed"/>
        <w:tblCellMar>
          <w:top w:w="0" w:type="dxa"/>
          <w:left w:w="0" w:type="dxa"/>
          <w:bottom w:w="0" w:type="dxa"/>
          <w:right w:w="0" w:type="dxa"/>
        </w:tblCellMar>
      </w:tblPr>
      <w:tblGrid>
        <w:gridCol w:w="1745"/>
        <w:gridCol w:w="60"/>
        <w:gridCol w:w="301"/>
        <w:gridCol w:w="2463"/>
        <w:gridCol w:w="185"/>
      </w:tblGrid>
      <w:tr>
        <w:tc>
          <w:tcPr>
            <w:tcW w:w="17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185" w:type="dxa"/>
            <w:tcBorders/>
            <w:shd w:fill="FFFFFF" w:val="clear"/>
            <w:vAlign w:val="center"/>
          </w:tcPr>
          <w:p>
            <w:pPr>
              <w:pStyle w:val="TableContents"/>
              <w:bidi w:val="0"/>
              <w:spacing w:before="0" w:after="283"/>
              <w:jc w:val="left"/>
            </w:pPr>
            <w:r>
              <w:t> </w:t>
            </w:r>
          </w:p>
        </w:tc>
      </w:tr>
      <w:tr>
        <w:tc>
          <w:tcPr>
            <w:tcW w:w="17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r>
      <w:t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pPr>
            <w:r>
              <w:t> </w:t>
            </w:r>
          </w:p>
        </w:tc>
        <w:tc>
          <w:tcPr>
            <w:tcW w:w="301" w:type="dxa"/>
            <w:tcBorders/>
            <w:shd w:fill="CCEEFF" w:val="clear"/>
            <w:vAlign w:val="center"/>
          </w:tcPr>
          <w:p>
            <w:pPr>
              <w:pStyle w:val="TableContents"/>
              <w:bidi w:val="0"/>
              <w:spacing w:before="0" w:after="283"/>
              <w:ind w:left="0" w:right="0" w:hanging="0"/>
              <w:jc w:val="left"/>
            </w:pPr>
            <w:r>
              <w:t> </w:t>
            </w:r>
          </w:p>
        </w:tc>
        <w:tc>
          <w:tcPr>
            <w:tcW w:w="2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pPr>
            <w:r>
              <w:t> </w:t>
            </w:r>
          </w:p>
        </w:tc>
        <w:tc>
          <w:tcPr>
            <w:tcW w:w="301" w:type="dxa"/>
            <w:tcBorders/>
            <w:shd w:fill="FFFFFF" w:val="clear"/>
            <w:vAlign w:val="center"/>
          </w:tcPr>
          <w:p>
            <w:pPr>
              <w:pStyle w:val="TableContents"/>
              <w:bidi w:val="0"/>
              <w:spacing w:before="0" w:after="283"/>
              <w:ind w:left="0" w:right="0" w:hanging="0"/>
              <w:jc w:val="left"/>
            </w:pPr>
            <w:r>
              <w:t> </w:t>
            </w:r>
          </w:p>
        </w:tc>
        <w:tc>
          <w:tcPr>
            <w:tcW w:w="24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jc w:val="left"/>
            </w:pPr>
            <w:r>
              <w:t> </w:t>
            </w:r>
          </w:p>
        </w:tc>
        <w:tc>
          <w:tcPr>
            <w:tcW w:w="301" w:type="dxa"/>
            <w:tcBorders/>
            <w:shd w:fill="CCEEFF" w:val="clear"/>
            <w:vAlign w:val="center"/>
          </w:tcPr>
          <w:p>
            <w:pPr>
              <w:pStyle w:val="TableContents"/>
              <w:bidi w:val="0"/>
              <w:spacing w:before="0" w:after="283"/>
              <w:ind w:left="0" w:right="0" w:hanging="0"/>
              <w:jc w:val="left"/>
            </w:pPr>
            <w:r>
              <w:t> </w:t>
            </w:r>
          </w:p>
        </w:tc>
        <w:tc>
          <w:tcPr>
            <w:tcW w:w="2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shd w:fill="CCEEFF" w:val="clear"/>
            <w:vAlign w:val="center"/>
          </w:tcPr>
          <w:p>
            <w:pPr>
              <w:pStyle w:val="TableContents"/>
              <w:bidi w:val="0"/>
              <w:spacing w:before="0" w:after="283"/>
              <w:jc w:val="left"/>
            </w:pPr>
            <w:r>
              <w:t> </w:t>
            </w:r>
          </w:p>
        </w:tc>
      </w:tr>
      <w:t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pPr>
            <w:r>
              <w:t> </w:t>
            </w:r>
          </w:p>
        </w:tc>
        <w:tc>
          <w:tcPr>
            <w:tcW w:w="276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c>
          <w:tcPr>
            <w:tcW w:w="18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180"/>
        <w:jc w:val="left"/>
      </w:pPr>
      <w:r>
        <w:t> </w:t>
      </w:r>
    </w:p>
    <w:p>
      <w:pPr>
        <w:pStyle w:val="TextBody"/>
        <w:bidi w:val="0"/>
        <w:spacing w:before="0" w:after="283"/>
        <w:jc w:val="left"/>
      </w:pPr>
      <w:r>
        <w:t xml:space="preserve">  </w:t>
      </w:r>
    </w:p>
    <w:p>
      <w:pPr>
        <w:pStyle w:val="TextBody"/>
        <w:bidi w:val="0"/>
        <w:spacing w:before="0" w:after="0"/>
        <w:ind w:left="0" w:right="0" w:hanging="0"/>
        <w:jc w:val="both"/>
      </w:pPr>
      <w:r>
        <w:rPr>
          <w:rStyle w:val="Emphasis"/>
          <w:rFonts w:ascii="Times New Roman;Times;serif" w:hAnsi="Times New Roman;Times;serif"/>
          <w:b/>
          <w:sz w:val="20"/>
        </w:rPr>
        <w:t>5.</w:t>
      </w:r>
      <w:r>
        <w:rPr>
          <w:rFonts w:ascii="Times New Roman;Times;serif" w:hAnsi="Times New Roman;Times;serif"/>
          <w:b/>
          <w:sz w:val="20"/>
        </w:rPr>
        <w:t xml:space="preserve"> Computation of Net Income per Share of Common Stock</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Basic net income per share (“EPS”) is computed by dividing net income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929,428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927,316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2,112 shares related to outstanding stock options that were considered anti-dilutive.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680,922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679,866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1,056 shares relate to outstanding stock options that were considered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553,740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553,334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406 shares related to outstanding stock options that were considered anti-dilutive.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514,535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513,926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609 shares related to outstanding stock options that were considered anti-dilutive. </w:t>
      </w:r>
    </w:p>
    <w:p>
      <w:pPr>
        <w:pStyle w:val="TextBody"/>
        <w:bidi w:val="0"/>
        <w:spacing w:before="0" w:after="0"/>
        <w:ind w:left="0" w:right="0" w:firstLine="555"/>
        <w:jc w:val="both"/>
      </w:pPr>
      <w:r>
        <w:t> </w:t>
      </w:r>
    </w:p>
    <w:p>
      <w:pPr>
        <w:pStyle w:val="TextBody"/>
        <w:bidi w:val="0"/>
        <w:spacing w:before="0" w:after="0"/>
        <w:ind w:left="0" w:right="0" w:firstLine="720"/>
        <w:jc w:val="both"/>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(in thousands, except per share data):</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4337"/>
        <w:gridCol w:w="60"/>
        <w:gridCol w:w="229"/>
        <w:gridCol w:w="1087"/>
        <w:gridCol w:w="147"/>
        <w:gridCol w:w="110"/>
        <w:gridCol w:w="229"/>
        <w:gridCol w:w="1087"/>
        <w:gridCol w:w="80"/>
        <w:gridCol w:w="60"/>
        <w:gridCol w:w="214"/>
        <w:gridCol w:w="1013"/>
        <w:gridCol w:w="136"/>
        <w:gridCol w:w="102"/>
        <w:gridCol w:w="214"/>
        <w:gridCol w:w="1013"/>
        <w:gridCol w:w="87"/>
      </w:tblGrid>
      <w:tr>
        <w:tc>
          <w:tcPr>
            <w:tcW w:w="43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87" w:type="dxa"/>
            <w:tcBorders/>
            <w:shd w:fill="FFFFFF" w:val="clear"/>
            <w:vAlign w:val="center"/>
          </w:tcPr>
          <w:p>
            <w:pPr>
              <w:pStyle w:val="TableContents"/>
              <w:bidi w:val="0"/>
              <w:spacing w:before="0" w:after="283"/>
              <w:jc w:val="left"/>
            </w:pPr>
            <w:r>
              <w:t> </w:t>
            </w:r>
          </w:p>
        </w:tc>
      </w:tr>
      <w:tr>
        <w:tc>
          <w:tcPr>
            <w:tcW w:w="43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47"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6" w:type="dxa"/>
            <w:tcBorders/>
            <w:shd w:fill="FFFFFF" w:val="cle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ind w:left="0" w:right="0" w:hanging="0"/>
              <w:jc w:val="left"/>
            </w:pPr>
            <w:r>
              <w:t> </w:t>
            </w:r>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283"/>
              <w:jc w:val="left"/>
            </w:pPr>
            <w:r>
              <w:t> </w:t>
            </w:r>
          </w:p>
        </w:tc>
      </w:tr>
      <w:t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1087"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108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4" w:type="dxa"/>
            <w:tcBorders/>
            <w:shd w:fill="CCEEFF" w:val="clear"/>
            <w:vAlign w:val="center"/>
          </w:tcPr>
          <w:p>
            <w:pPr>
              <w:pStyle w:val="TableContents"/>
              <w:bidi w:val="0"/>
              <w:spacing w:before="0" w:after="283"/>
              <w:jc w:val="left"/>
            </w:pPr>
            <w:r>
              <w:t> </w:t>
            </w:r>
          </w:p>
        </w:tc>
        <w:tc>
          <w:tcPr>
            <w:tcW w:w="1013"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14" w:type="dxa"/>
            <w:tcBorders/>
            <w:shd w:fill="CCEEFF" w:val="clear"/>
            <w:vAlign w:val="center"/>
          </w:tcPr>
          <w:p>
            <w:pPr>
              <w:pStyle w:val="TableContents"/>
              <w:bidi w:val="0"/>
              <w:spacing w:before="0" w:after="283"/>
              <w:jc w:val="left"/>
            </w:pPr>
            <w:r>
              <w:t> </w:t>
            </w:r>
          </w:p>
        </w:tc>
        <w:tc>
          <w:tcPr>
            <w:tcW w:w="1013"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r>
      <w:t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p>
        </w:tc>
        <w:tc>
          <w:tcPr>
            <w:tcW w:w="147"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p>
        </w:tc>
        <w:tc>
          <w:tcPr>
            <w:tcW w:w="136" w:type="dxa"/>
            <w:tcBorders/>
            <w:shd w:fill="FFFFFF" w:val="cle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ind w:left="0" w:right="0" w:hanging="0"/>
              <w:jc w:val="left"/>
            </w:pPr>
            <w: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87" w:type="dxa"/>
            <w:tcBorders/>
            <w:shd w:fill="FFFFFF" w:val="clear"/>
            <w:vAlign w:val="center"/>
          </w:tcPr>
          <w:p>
            <w:pPr>
              <w:pStyle w:val="TableContents"/>
              <w:bidi w:val="0"/>
              <w:spacing w:before="0" w:after="283"/>
              <w:jc w:val="left"/>
            </w:pPr>
            <w:r>
              <w:t> </w:t>
            </w:r>
          </w:p>
        </w:tc>
      </w:tr>
      <w:t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1087"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pPr>
            <w:r>
              <w:t> </w:t>
            </w:r>
          </w:p>
        </w:tc>
        <w:tc>
          <w:tcPr>
            <w:tcW w:w="108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4" w:type="dxa"/>
            <w:tcBorders/>
            <w:shd w:fill="CCEEFF" w:val="clear"/>
            <w:vAlign w:val="center"/>
          </w:tcPr>
          <w:p>
            <w:pPr>
              <w:pStyle w:val="TableContents"/>
              <w:bidi w:val="0"/>
              <w:spacing w:before="0" w:after="283"/>
              <w:jc w:val="left"/>
            </w:pPr>
            <w:r>
              <w:t> </w:t>
            </w:r>
          </w:p>
        </w:tc>
        <w:tc>
          <w:tcPr>
            <w:tcW w:w="1013" w:type="dxa"/>
            <w:tcBorders/>
            <w:shd w:fill="CCEEFF" w:val="clear"/>
            <w:vAlign w:val="center"/>
          </w:tcPr>
          <w:p>
            <w:pPr>
              <w:pStyle w:val="TableContents"/>
              <w:bidi w:val="0"/>
              <w:spacing w:before="0" w:after="283"/>
              <w:jc w:val="left"/>
            </w:pPr>
            <w:r>
              <w:t> </w:t>
            </w:r>
          </w:p>
        </w:tc>
        <w:tc>
          <w:tcPr>
            <w:tcW w:w="136"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14" w:type="dxa"/>
            <w:tcBorders/>
            <w:shd w:fill="CCEEFF" w:val="clear"/>
            <w:vAlign w:val="center"/>
          </w:tcPr>
          <w:p>
            <w:pPr>
              <w:pStyle w:val="TableContents"/>
              <w:bidi w:val="0"/>
              <w:spacing w:before="0" w:after="283"/>
              <w:jc w:val="left"/>
            </w:pPr>
            <w:r>
              <w:t> </w:t>
            </w:r>
          </w:p>
        </w:tc>
        <w:tc>
          <w:tcPr>
            <w:tcW w:w="1013"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r>
      <w:t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ind w:left="0" w:right="0" w:hanging="0"/>
              <w:jc w:val="left"/>
            </w:pPr>
            <w: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48,447</w:t>
            </w:r>
          </w:p>
        </w:tc>
        <w:tc>
          <w:tcPr>
            <w:tcW w:w="147"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ind w:left="0" w:right="0" w:hanging="0"/>
              <w:jc w:val="left"/>
            </w:pPr>
            <w: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4" w:type="dxa"/>
            <w:tcBorders/>
            <w:shd w:fill="FFFFFF" w:val="clear"/>
            <w:vAlign w:val="center"/>
          </w:tcPr>
          <w:p>
            <w:pPr>
              <w:pStyle w:val="TableContents"/>
              <w:bidi w:val="0"/>
              <w:spacing w:before="0" w:after="283"/>
              <w:ind w:left="0" w:right="0" w:hanging="0"/>
              <w:jc w:val="left"/>
            </w:pPr>
            <w: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48,188</w:t>
            </w:r>
          </w:p>
        </w:tc>
        <w:tc>
          <w:tcPr>
            <w:tcW w:w="136" w:type="dxa"/>
            <w:tcBorders/>
            <w:shd w:fill="FFFFFF" w:val="cle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jc w:val="left"/>
            </w:pPr>
            <w:r>
              <w:t> </w:t>
            </w:r>
          </w:p>
        </w:tc>
        <w:tc>
          <w:tcPr>
            <w:tcW w:w="214" w:type="dxa"/>
            <w:tcBorders/>
            <w:shd w:fill="FFFFFF" w:val="clear"/>
            <w:vAlign w:val="center"/>
          </w:tcPr>
          <w:p>
            <w:pPr>
              <w:pStyle w:val="TableContents"/>
              <w:bidi w:val="0"/>
              <w:spacing w:before="0" w:after="283"/>
              <w:ind w:left="0" w:right="0" w:hanging="0"/>
              <w:jc w:val="left"/>
            </w:pPr>
            <w: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43,028</w:t>
            </w:r>
          </w:p>
        </w:tc>
        <w:tc>
          <w:tcPr>
            <w:tcW w:w="87" w:type="dxa"/>
            <w:tcBorders/>
            <w:shd w:fill="FFFFFF" w:val="clear"/>
            <w:vAlign w:val="center"/>
          </w:tcPr>
          <w:p>
            <w:pPr>
              <w:pStyle w:val="TableContents"/>
              <w:bidi w:val="0"/>
              <w:spacing w:before="0" w:after="283"/>
              <w:jc w:val="left"/>
            </w:pPr>
            <w:r>
              <w:t> </w:t>
            </w:r>
          </w:p>
        </w:tc>
      </w:tr>
      <w:t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subject to repurchase</w:t>
            </w:r>
          </w:p>
        </w:tc>
        <w:tc>
          <w:tcPr>
            <w:tcW w:w="60" w:type="dxa"/>
            <w:tcBorders/>
            <w:shd w:fill="CCEEFF" w:val="clear"/>
            <w:vAlign w:val="center"/>
          </w:tcPr>
          <w:p>
            <w:pPr>
              <w:pStyle w:val="TableContents"/>
              <w:bidi w:val="0"/>
              <w:spacing w:before="0" w:after="283"/>
              <w:jc w:val="left"/>
            </w:pPr>
            <w: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pPr>
            <w: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pPr>
            <w: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per-share calculation ― basic</w:t>
            </w:r>
          </w:p>
        </w:tc>
        <w:tc>
          <w:tcPr>
            <w:tcW w:w="6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w:t>
            </w:r>
          </w:p>
        </w:tc>
        <w:tc>
          <w:tcPr>
            <w:tcW w:w="147"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46,260</w:t>
            </w:r>
          </w:p>
        </w:tc>
        <w:tc>
          <w:tcPr>
            <w:tcW w:w="136" w:type="dxa"/>
            <w:tcBorders/>
            <w:shd w:fill="FFFFFF" w:val="cle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jc w:val="left"/>
            </w:pPr>
            <w: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p>
        </w:tc>
        <w:tc>
          <w:tcPr>
            <w:tcW w:w="87" w:type="dxa"/>
            <w:tcBorders/>
            <w:shd w:fill="FFFFFF" w:val="clear"/>
            <w:vAlign w:val="center"/>
          </w:tcPr>
          <w:p>
            <w:pPr>
              <w:pStyle w:val="TableContents"/>
              <w:bidi w:val="0"/>
              <w:spacing w:before="0" w:after="283"/>
              <w:jc w:val="left"/>
            </w:pPr>
            <w:r>
              <w:t> </w:t>
            </w:r>
          </w:p>
        </w:tc>
      </w:tr>
      <w:t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per-share calculation ― diluted</w:t>
            </w:r>
          </w:p>
        </w:tc>
        <w:tc>
          <w:tcPr>
            <w:tcW w:w="60" w:type="dxa"/>
            <w:tcBorders/>
            <w:shd w:fill="CCEEFF" w:val="clear"/>
            <w:vAlign w:val="center"/>
          </w:tcPr>
          <w:p>
            <w:pPr>
              <w:pStyle w:val="TableContents"/>
              <w:bidi w:val="0"/>
              <w:spacing w:before="0" w:after="283"/>
              <w:jc w:val="left"/>
            </w:pPr>
            <w: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47,033</w:t>
            </w:r>
          </w:p>
        </w:tc>
        <w:tc>
          <w:tcPr>
            <w:tcW w:w="147"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47,058</w:t>
            </w:r>
          </w:p>
        </w:tc>
        <w:tc>
          <w:tcPr>
            <w:tcW w:w="136"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41,988</w:t>
            </w:r>
          </w:p>
        </w:tc>
        <w:tc>
          <w:tcPr>
            <w:tcW w:w="87" w:type="dxa"/>
            <w:tcBorders/>
            <w:shd w:fill="CCEEFF" w:val="clear"/>
            <w:vAlign w:val="center"/>
          </w:tcPr>
          <w:p>
            <w:pPr>
              <w:pStyle w:val="TableContents"/>
              <w:bidi w:val="0"/>
              <w:spacing w:before="0" w:after="283"/>
              <w:jc w:val="left"/>
            </w:pPr>
            <w:r>
              <w:t> </w:t>
            </w:r>
          </w:p>
        </w:tc>
      </w:tr>
      <w:t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147"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136" w:type="dxa"/>
            <w:tcBorders/>
            <w:shd w:fill="FFFFFF" w:val="cle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jc w:val="left"/>
            </w:pPr>
            <w:r>
              <w:t> </w:t>
            </w:r>
          </w:p>
        </w:tc>
        <w:tc>
          <w:tcPr>
            <w:tcW w:w="2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w:t>
            </w:r>
          </w:p>
        </w:tc>
        <w:tc>
          <w:tcPr>
            <w:tcW w:w="87" w:type="dxa"/>
            <w:tcBorders/>
            <w:shd w:fill="FFFFFF" w:val="clear"/>
            <w:vAlign w:val="center"/>
          </w:tcPr>
          <w:p>
            <w:pPr>
              <w:pStyle w:val="TableContents"/>
              <w:bidi w:val="0"/>
              <w:spacing w:before="0" w:after="283"/>
              <w:jc w:val="left"/>
            </w:pPr>
            <w:r>
              <w:t> </w:t>
            </w:r>
          </w:p>
        </w:tc>
      </w:tr>
      <w:t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147"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136"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87"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both"/>
      </w:pPr>
      <w:r>
        <w:rPr>
          <w:rStyle w:val="Emphasis"/>
          <w:rFonts w:ascii="Times New Roman;Times;serif" w:hAnsi="Times New Roman;Times;serif"/>
          <w:b/>
          <w:sz w:val="20"/>
        </w:rPr>
        <w:t>6.</w:t>
      </w:r>
      <w:r>
        <w:rPr>
          <w:rFonts w:ascii="Times New Roman;Times;serif" w:hAnsi="Times New Roman;Times;serif"/>
          <w:b/>
          <w:sz w:val="20"/>
        </w:rPr>
        <w:t xml:space="preserve"> Goodwill and Other Intangibles</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pPr>
      <w:r>
        <w:t> </w:t>
      </w:r>
    </w:p>
    <w:p>
      <w:pPr>
        <w:pStyle w:val="TextBody"/>
        <w:bidi w:val="0"/>
        <w:spacing w:before="0" w:after="0"/>
        <w:ind w:left="0" w:right="0" w:firstLine="720"/>
        <w:jc w:val="left"/>
      </w:pPr>
      <w:r>
        <w:rPr>
          <w:rFonts w:ascii="Times New Roman" w:hAnsi="Times New Roman"/>
          <w:caps w:val="false"/>
          <w:smallCaps w:val="false"/>
          <w:sz w:val="20"/>
        </w:rPr>
        <w:t>The guidance under ASC </w:t>
      </w:r>
      <w:r>
        <w:rPr>
          <w:rStyle w:val="Emphasis"/>
          <w:rFonts w:ascii="Times New Roman" w:hAnsi="Times New Roman"/>
          <w:i/>
          <w:caps w:val="false"/>
          <w:smallCaps w:val="false"/>
          <w:sz w:val="20"/>
        </w:rPr>
        <w:t>805</w:t>
      </w:r>
      <w:r>
        <w:rPr>
          <w:rFonts w:ascii="Times New Roman" w:hAnsi="Times New Roman"/>
          <w:caps w:val="false"/>
          <w:smallCaps w:val="false"/>
          <w:sz w:val="20"/>
        </w:rPr>
        <w:t>-</w:t>
      </w:r>
      <w:r>
        <w:rPr>
          <w:rStyle w:val="Emphasis"/>
          <w:rFonts w:ascii="Times New Roman" w:hAnsi="Times New Roman"/>
          <w:i/>
          <w:caps w:val="false"/>
          <w:smallCaps w:val="false"/>
          <w:sz w:val="20"/>
        </w:rPr>
        <w:t>30,</w:t>
      </w:r>
      <w:r>
        <w:rPr>
          <w:rFonts w:ascii="Times New Roman" w:hAnsi="Times New Roman"/>
          <w:caps w:val="false"/>
          <w:smallCaps w:val="false"/>
          <w:sz w:val="20"/>
        </w:rPr>
        <w:t> </w:t>
      </w:r>
      <w:r>
        <w:rPr>
          <w:rFonts w:ascii="Times New Roman" w:hAnsi="Times New Roman"/>
          <w:i/>
          <w:caps w:val="false"/>
          <w:smallCaps w:val="false"/>
          <w:sz w:val="20"/>
        </w:rPr>
        <w:t>Business Combinations</w:t>
      </w:r>
      <w:r>
        <w:rPr>
          <w:rFonts w:ascii="Times New Roman" w:hAnsi="Times New Roman"/>
          <w:caps w:val="false"/>
          <w:smallCaps w:val="false"/>
          <w:sz w:val="20"/>
        </w:rPr>
        <w:t>, provides for the recognition of goodwill on the acquisition date measured as the excess of the aggregate consideration transferred over the net of the acquisition date amounts of net assets acquired and liabilities assumed. The Company's goodwill balance relates to the Comtrafo Acquisition in fiscal </w:t>
      </w:r>
      <w:r>
        <w:rPr>
          <w:rStyle w:val="Emphasis"/>
          <w:rFonts w:ascii="Times New Roman" w:hAnsi="Times New Roman"/>
          <w:caps w:val="false"/>
          <w:smallCaps w:val="false"/>
          <w:sz w:val="20"/>
        </w:rPr>
        <w:t>2025,</w:t>
      </w:r>
      <w:r>
        <w:rPr>
          <w:rFonts w:ascii="Times New Roman" w:hAnsi="Times New Roman"/>
          <w:caps w:val="false"/>
          <w:smallCaps w:val="false"/>
          <w:sz w:val="20"/>
        </w:rPr>
        <w:t> the NWL acquisition in fiscal </w:t>
      </w:r>
      <w:r>
        <w:rPr>
          <w:rStyle w:val="Emphasis"/>
          <w:rFonts w:ascii="Times New Roman" w:hAnsi="Times New Roman"/>
          <w:caps w:val="false"/>
          <w:smallCaps w:val="false"/>
          <w:sz w:val="20"/>
        </w:rPr>
        <w:t>2024,</w:t>
      </w:r>
      <w:r>
        <w:rPr>
          <w:rFonts w:ascii="Times New Roman" w:hAnsi="Times New Roman"/>
          <w:caps w:val="false"/>
          <w:smallCaps w:val="false"/>
          <w:sz w:val="20"/>
        </w:rPr>
        <w:t> the Neeltran acquisition in fiscal </w:t>
      </w:r>
      <w:r>
        <w:rPr>
          <w:rStyle w:val="Emphasis"/>
          <w:rFonts w:ascii="Times New Roman" w:hAnsi="Times New Roman"/>
          <w:caps w:val="false"/>
          <w:smallCaps w:val="false"/>
          <w:sz w:val="20"/>
        </w:rPr>
        <w:t>2021,</w:t>
      </w:r>
      <w:r>
        <w:rPr>
          <w:rFonts w:ascii="Times New Roman" w:hAnsi="Times New Roman"/>
          <w:caps w:val="false"/>
          <w:smallCaps w:val="false"/>
          <w:sz w:val="20"/>
        </w:rPr>
        <w:t> the NEPSI acquisition in fiscal </w:t>
      </w:r>
      <w:r>
        <w:rPr>
          <w:rStyle w:val="Emphasis"/>
          <w:rFonts w:ascii="Times New Roman" w:hAnsi="Times New Roman"/>
          <w:caps w:val="false"/>
          <w:smallCaps w:val="false"/>
          <w:sz w:val="20"/>
        </w:rPr>
        <w:t>2020,</w:t>
      </w:r>
      <w:r>
        <w:rPr>
          <w:rFonts w:ascii="Times New Roman" w:hAnsi="Times New Roman"/>
          <w:caps w:val="false"/>
          <w:smallCaps w:val="false"/>
          <w:sz w:val="20"/>
        </w:rPr>
        <w:t> and Infinia Technology Corporation acquisition in fiscal </w:t>
      </w:r>
      <w:r>
        <w:rPr>
          <w:rStyle w:val="Emphasis"/>
          <w:rFonts w:ascii="Times New Roman" w:hAnsi="Times New Roman"/>
          <w:caps w:val="false"/>
          <w:smallCaps w:val="false"/>
          <w:sz w:val="20"/>
        </w:rPr>
        <w:t>2017</w:t>
      </w:r>
      <w:r>
        <w:rPr>
          <w:rFonts w:ascii="Times New Roman" w:hAnsi="Times New Roman"/>
          <w:caps w:val="false"/>
          <w:smallCaps w:val="false"/>
          <w:sz w:val="20"/>
        </w:rPr>
        <w:t> and is reported in the Grid business segment.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144" w:firstLine="720"/>
        <w:jc w:val="both"/>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Goodwill is reviewed annually on </w:t>
      </w:r>
      <w:r>
        <w:rPr>
          <w:rStyle w:val="Emphasis"/>
          <w:rFonts w:ascii="Times New Roman;Times;serif" w:hAnsi="Times New Roman;Times;serif"/>
          <w:sz w:val="20"/>
        </w:rPr>
        <w:t>February 28 </w:t>
      </w:r>
      <w:r>
        <w:rPr>
          <w:rFonts w:ascii="Times New Roman;Times;serif" w:hAnsi="Times New Roman;Times;serif"/>
          <w:sz w:val="20"/>
        </w:rPr>
        <w:t xml:space="preserve">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 Changes in the Company’s goodwill are as follows (in thousands):</w:t>
      </w:r>
    </w:p>
    <w:p>
      <w:pPr>
        <w:pStyle w:val="TextBody"/>
        <w:bidi w:val="0"/>
        <w:spacing w:before="0" w:after="0"/>
        <w:ind w:left="0" w:right="144" w:firstLine="720"/>
        <w:jc w:val="both"/>
      </w:pPr>
      <w:r>
        <w:t> </w:t>
      </w:r>
    </w:p>
    <w:tbl>
      <w:tblPr>
        <w:tblW w:w="3570" w:type="dxa"/>
        <w:jc w:val="left"/>
        <w:tblInd w:w="0" w:type="dxa"/>
        <w:tblLayout w:type="fixed"/>
        <w:tblCellMar>
          <w:top w:w="0" w:type="dxa"/>
          <w:left w:w="0" w:type="dxa"/>
          <w:bottom w:w="0" w:type="dxa"/>
          <w:right w:w="0" w:type="dxa"/>
        </w:tblCellMar>
      </w:tblPr>
      <w:tblGrid>
        <w:gridCol w:w="2630"/>
        <w:gridCol w:w="60"/>
        <w:gridCol w:w="125"/>
        <w:gridCol w:w="695"/>
        <w:gridCol w:w="60"/>
      </w:tblGrid>
      <w:tr>
        <w:tc>
          <w:tcPr>
            <w:tcW w:w="26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Goodwill</w:t>
            </w:r>
          </w:p>
        </w:tc>
        <w:tc>
          <w:tcPr>
            <w:tcW w:w="60" w:type="dxa"/>
            <w:tcBorders/>
            <w:shd w:fill="FFFFFF" w:val="clear"/>
            <w:vAlign w:val="center"/>
          </w:tcPr>
          <w:p>
            <w:pPr>
              <w:pStyle w:val="TableContents"/>
              <w:bidi w:val="0"/>
              <w:spacing w:before="0" w:after="283"/>
              <w:jc w:val="left"/>
            </w:pPr>
            <w:r>
              <w:t> </w:t>
            </w:r>
          </w:p>
        </w:tc>
      </w:tr>
      <w:t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2025</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48,164</w:t>
            </w:r>
          </w:p>
        </w:tc>
        <w:tc>
          <w:tcPr>
            <w:tcW w:w="60" w:type="dxa"/>
            <w:tcBorders/>
            <w:shd w:fill="CCEEFF" w:val="clear"/>
            <w:vAlign w:val="center"/>
          </w:tcPr>
          <w:p>
            <w:pPr>
              <w:pStyle w:val="TableContents"/>
              <w:bidi w:val="0"/>
              <w:spacing w:before="0" w:after="283"/>
              <w:jc w:val="left"/>
            </w:pPr>
            <w:r>
              <w:t> </w:t>
            </w:r>
          </w:p>
        </w:tc>
      </w:tr>
      <w:t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acquired – Comtrafo</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122,620</w:t>
            </w:r>
          </w:p>
        </w:tc>
        <w:tc>
          <w:tcPr>
            <w:tcW w:w="60" w:type="dxa"/>
            <w:tcBorders/>
            <w:shd w:fill="FFFFFF" w:val="clear"/>
            <w:vAlign w:val="center"/>
          </w:tcPr>
          <w:p>
            <w:pPr>
              <w:pStyle w:val="TableContents"/>
              <w:bidi w:val="0"/>
              <w:spacing w:before="0" w:after="283"/>
              <w:jc w:val="left"/>
            </w:pPr>
            <w:r>
              <w:t> </w:t>
            </w:r>
          </w:p>
        </w:tc>
      </w:tr>
      <w:t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Measurement period adjustment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2,674</w:t>
            </w:r>
          </w:p>
        </w:tc>
        <w:tc>
          <w:tcPr>
            <w:tcW w:w="60" w:type="dxa"/>
            <w:tcBorders/>
            <w:shd w:fill="CCEEFF" w:val="clear"/>
            <w:vAlign w:val="center"/>
          </w:tcPr>
          <w:p>
            <w:pPr>
              <w:pStyle w:val="TableContents"/>
              <w:bidi w:val="0"/>
              <w:spacing w:before="0" w:after="283"/>
              <w:jc w:val="left"/>
            </w:pPr>
            <w:r>
              <w:t> </w:t>
            </w:r>
          </w:p>
        </w:tc>
      </w:tr>
      <w:t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FX impact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1,918</w:t>
            </w:r>
          </w:p>
        </w:tc>
        <w:tc>
          <w:tcPr>
            <w:tcW w:w="60" w:type="dxa"/>
            <w:tcBorders/>
            <w:shd w:fill="FFFFFF" w:val="clear"/>
            <w:vAlign w:val="center"/>
          </w:tcPr>
          <w:p>
            <w:pPr>
              <w:pStyle w:val="TableContents"/>
              <w:bidi w:val="0"/>
              <w:spacing w:before="0" w:after="283"/>
              <w:jc w:val="left"/>
            </w:pPr>
            <w:r>
              <w:t> </w:t>
            </w:r>
          </w:p>
        </w:tc>
      </w:tr>
      <w:t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175,376</w:t>
            </w:r>
          </w:p>
        </w:tc>
        <w:tc>
          <w:tcPr>
            <w:tcW w:w="60" w:type="dxa"/>
            <w:tcBorders/>
            <w:shd w:fill="CCEEFF" w:val="clear"/>
            <w:vAlign w:val="center"/>
          </w:tcPr>
          <w:p>
            <w:pPr>
              <w:pStyle w:val="TableContents"/>
              <w:bidi w:val="0"/>
              <w:spacing w:before="0" w:after="283"/>
              <w:jc w:val="left"/>
            </w:pPr>
            <w:r>
              <w:t> </w:t>
            </w:r>
          </w:p>
        </w:tc>
      </w:tr>
      <w:t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FX impact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FFFFFF" w:val="clear"/>
            <w:vAlign w:val="center"/>
          </w:tcPr>
          <w:p>
            <w:pPr>
              <w:pStyle w:val="TableContents"/>
              <w:bidi w:val="0"/>
              <w:spacing w:before="0" w:after="283"/>
              <w:jc w:val="left"/>
            </w:pPr>
            <w:r>
              <w:t> </w:t>
            </w:r>
          </w:p>
        </w:tc>
      </w:tr>
      <w:t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176,341</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pPr>
      <w:r>
        <w:rPr>
          <w:rFonts w:ascii="Times New Roman;Times;serif" w:hAnsi="Times New Roman;Times;serif"/>
          <w:sz w:val="20"/>
        </w:rPr>
        <w:t>The Company did not identify any triggers to assess impairment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or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pPr>
      <w:r>
        <w:t> </w:t>
      </w:r>
    </w:p>
    <w:p>
      <w:pPr>
        <w:pStyle w:val="TextBody"/>
        <w:bidi w:val="0"/>
        <w:spacing w:before="0" w:after="0"/>
        <w:ind w:left="0" w:right="0" w:firstLine="720"/>
        <w:jc w:val="both"/>
      </w:pPr>
      <w:r>
        <w:rPr>
          <w:rFonts w:ascii="Times New Roman;Times;serif" w:hAnsi="Times New Roman;Times;serif"/>
          <w:sz w:val="20"/>
        </w:rPr>
        <w:t>Intangible assets at </w:t>
      </w:r>
      <w:r>
        <w:rPr>
          <w:rStyle w:val="Emphasis"/>
          <w:rFonts w:ascii="Times New Roman;Times;serif" w:hAnsi="Times New Roman;Times;serif"/>
          <w:sz w:val="20"/>
        </w:rPr>
        <w:t xml:space="preserve"> September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consisted of the following (in thousands):</w:t>
      </w:r>
    </w:p>
    <w:p>
      <w:pPr>
        <w:pStyle w:val="TextBody"/>
        <w:bidi w:val="0"/>
        <w:spacing w:before="0" w:after="0"/>
        <w:ind w:left="0" w:right="0" w:firstLine="720"/>
        <w:jc w:val="both"/>
      </w:pPr>
      <w:r>
        <w:t> </w:t>
      </w:r>
    </w:p>
    <w:tbl>
      <w:tblPr>
        <w:tblW w:w="10205" w:type="dxa"/>
        <w:jc w:val="left"/>
        <w:tblInd w:w="0" w:type="dxa"/>
        <w:tblLayout w:type="fixed"/>
        <w:tblCellMar>
          <w:top w:w="0" w:type="dxa"/>
          <w:left w:w="0" w:type="dxa"/>
          <w:bottom w:w="0" w:type="dxa"/>
          <w:right w:w="0" w:type="dxa"/>
        </w:tblCellMar>
      </w:tblPr>
      <w:tblGrid>
        <w:gridCol w:w="1583"/>
        <w:gridCol w:w="60"/>
        <w:gridCol w:w="152"/>
        <w:gridCol w:w="718"/>
        <w:gridCol w:w="60"/>
        <w:gridCol w:w="60"/>
        <w:gridCol w:w="239"/>
        <w:gridCol w:w="1250"/>
        <w:gridCol w:w="80"/>
        <w:gridCol w:w="60"/>
        <w:gridCol w:w="160"/>
        <w:gridCol w:w="759"/>
        <w:gridCol w:w="60"/>
        <w:gridCol w:w="60"/>
        <w:gridCol w:w="152"/>
        <w:gridCol w:w="718"/>
        <w:gridCol w:w="60"/>
        <w:gridCol w:w="60"/>
        <w:gridCol w:w="239"/>
        <w:gridCol w:w="1250"/>
        <w:gridCol w:w="80"/>
        <w:gridCol w:w="60"/>
        <w:gridCol w:w="160"/>
        <w:gridCol w:w="759"/>
        <w:gridCol w:w="60"/>
        <w:gridCol w:w="60"/>
        <w:gridCol w:w="80"/>
        <w:gridCol w:w="1099"/>
        <w:gridCol w:w="67"/>
      </w:tblGrid>
      <w:tr>
        <w:tc>
          <w:tcPr>
            <w:tcW w:w="158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099" w:type="dxa"/>
            <w:tcBorders/>
            <w:shd w:fill="FFFFFF" w:val="clear"/>
            <w:vAlign w:val="center"/>
          </w:tcPr>
          <w:p>
            <w:pPr>
              <w:pStyle w:val="TableContents"/>
              <w:bidi w:val="0"/>
              <w:spacing w:before="0" w:after="283"/>
              <w:jc w:val="center"/>
            </w:pPr>
            <w:r>
              <w:rPr>
                <w:rStyle w:val="Emphasis"/>
              </w:rPr>
              <w:t> </w:t>
            </w:r>
          </w:p>
        </w:tc>
        <w:tc>
          <w:tcPr>
            <w:tcW w:w="67" w:type="dxa"/>
            <w:tcBorders/>
            <w:shd w:fill="FFFFFF" w:val="clear"/>
            <w:vAlign w:val="center"/>
          </w:tcPr>
          <w:p>
            <w:pPr>
              <w:pStyle w:val="TableContents"/>
              <w:bidi w:val="0"/>
              <w:spacing w:before="0" w:after="283"/>
              <w:jc w:val="left"/>
            </w:pPr>
            <w:r>
              <w:t> </w:t>
            </w:r>
          </w:p>
        </w:tc>
      </w:tr>
      <w:tr>
        <w:tc>
          <w:tcPr>
            <w:tcW w:w="158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Estimated Useful Life</w:t>
            </w:r>
          </w:p>
        </w:tc>
        <w:tc>
          <w:tcPr>
            <w:tcW w:w="67" w:type="dxa"/>
            <w:tcBorders/>
            <w:shd w:fill="FFFFFF" w:val="clear"/>
            <w:vAlign w:val="center"/>
          </w:tcPr>
          <w:p>
            <w:pPr>
              <w:pStyle w:val="TableContents"/>
              <w:bidi w:val="0"/>
              <w:spacing w:before="0" w:after="283"/>
              <w:jc w:val="left"/>
            </w:pPr>
            <w:r>
              <w:t> </w:t>
            </w:r>
          </w:p>
        </w:tc>
      </w:tr>
      <w:t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ind w:left="0" w:right="0" w:hanging="0"/>
              <w:jc w:val="left"/>
            </w:pPr>
            <w: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ind w:left="0" w:right="0" w:hanging="0"/>
              <w:jc w:val="left"/>
            </w:pPr>
            <w: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7" w:type="dxa"/>
            <w:tcBorders/>
            <w:shd w:fill="CCEEFF" w:val="clear"/>
            <w:vAlign w:val="center"/>
          </w:tcPr>
          <w:p>
            <w:pPr>
              <w:pStyle w:val="TableContents"/>
              <w:bidi w:val="0"/>
              <w:spacing w:before="0" w:after="283"/>
              <w:jc w:val="left"/>
            </w:pPr>
            <w:r>
              <w:t> </w:t>
            </w:r>
          </w:p>
        </w:tc>
      </w:tr>
      <w:tr>
        <w:tc>
          <w:tcPr>
            <w:tcW w:w="1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jc w:val="left"/>
            </w:pPr>
            <w:r>
              <w:t> </w:t>
            </w:r>
          </w:p>
        </w:tc>
        <w:tc>
          <w:tcPr>
            <w:tcW w:w="1250"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jc w:val="left"/>
            </w:pPr>
            <w:r>
              <w:t> </w:t>
            </w:r>
          </w:p>
        </w:tc>
        <w:tc>
          <w:tcPr>
            <w:tcW w:w="1250"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099" w:type="dxa"/>
            <w:tcBorders/>
            <w:shd w:fill="FFFFFF" w:val="clear"/>
            <w:vAlign w:val="center"/>
          </w:tcPr>
          <w:p>
            <w:pPr>
              <w:pStyle w:val="TableContents"/>
              <w:bidi w:val="0"/>
              <w:spacing w:before="0" w:after="283"/>
              <w:jc w:val="right"/>
            </w:pPr>
            <w:r>
              <w:rPr>
                <w:rStyle w:val="Emphasis"/>
                <w:rFonts w:ascii="Times New Roman;Times;serif" w:hAnsi="Times New Roman;Times;serif"/>
                <w:sz w:val="20"/>
              </w:rPr>
              <w:t>Indefinite</w:t>
            </w:r>
          </w:p>
        </w:tc>
        <w:tc>
          <w:tcPr>
            <w:tcW w:w="67" w:type="dxa"/>
            <w:tcBorders/>
            <w:shd w:fill="FFFFFF" w:val="clear"/>
            <w:vAlign w:val="center"/>
          </w:tcPr>
          <w:p>
            <w:pPr>
              <w:pStyle w:val="TableContents"/>
              <w:bidi w:val="0"/>
              <w:spacing w:before="0" w:after="283"/>
              <w:jc w:val="left"/>
            </w:pPr>
            <w:r>
              <w:t> </w:t>
            </w:r>
          </w:p>
        </w:tc>
      </w:tr>
      <w:t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ind w:left="0" w:right="0" w:hanging="0"/>
              <w:jc w:val="left"/>
            </w:pPr>
            <w: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9" w:type="dxa"/>
            <w:tcBorders/>
            <w:shd w:fill="CCEEFF" w:val="clear"/>
            <w:vAlign w:val="center"/>
          </w:tcPr>
          <w:p>
            <w:pPr>
              <w:pStyle w:val="TableContents"/>
              <w:bidi w:val="0"/>
              <w:spacing w:before="0" w:after="283"/>
              <w:ind w:left="0" w:right="0" w:hanging="0"/>
              <w:jc w:val="left"/>
            </w:pPr>
            <w: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7" w:type="dxa"/>
            <w:tcBorders/>
            <w:shd w:fill="CCEEFF" w:val="clear"/>
            <w:vAlign w:val="center"/>
          </w:tcPr>
          <w:p>
            <w:pPr>
              <w:pStyle w:val="TableContents"/>
              <w:bidi w:val="0"/>
              <w:spacing w:before="0" w:after="283"/>
              <w:jc w:val="left"/>
            </w:pPr>
            <w:r>
              <w:t> </w:t>
            </w:r>
          </w:p>
        </w:tc>
      </w:tr>
      <w:tr>
        <w:tc>
          <w:tcPr>
            <w:tcW w:w="1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 and know-how</w:t>
            </w:r>
          </w:p>
        </w:tc>
        <w:tc>
          <w:tcPr>
            <w:tcW w:w="60" w:type="dxa"/>
            <w:tcBorders/>
            <w:shd w:fill="FFFFFF" w:val="clear"/>
            <w:vAlign w:val="center"/>
          </w:tcPr>
          <w:p>
            <w:pPr>
              <w:pStyle w:val="TableContents"/>
              <w:bidi w:val="0"/>
              <w:spacing w:before="0" w:after="283"/>
              <w:jc w:val="left"/>
            </w:pPr>
            <w: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7" w:type="dxa"/>
            <w:tcBorders/>
            <w:shd w:fill="FFFFFF" w:val="clear"/>
            <w:vAlign w:val="center"/>
          </w:tcPr>
          <w:p>
            <w:pPr>
              <w:pStyle w:val="TableContents"/>
              <w:bidi w:val="0"/>
              <w:spacing w:before="0" w:after="283"/>
              <w:jc w:val="left"/>
            </w:pPr>
            <w:r>
              <w:t> </w:t>
            </w:r>
          </w:p>
        </w:tc>
      </w:tr>
      <w:t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099" w:type="dxa"/>
            <w:tcBorders/>
            <w:shd w:fill="CCEEFF" w:val="clear"/>
            <w:vAlign w:val="center"/>
          </w:tcPr>
          <w:p>
            <w:pPr>
              <w:pStyle w:val="TableContents"/>
              <w:bidi w:val="0"/>
              <w:spacing w:before="0" w:after="283"/>
              <w:jc w:val="right"/>
            </w:pPr>
            <w:r>
              <w:rPr>
                <w:rStyle w:val="Emphasis"/>
              </w:rPr>
              <w:t> </w:t>
            </w:r>
          </w:p>
        </w:tc>
        <w:tc>
          <w:tcPr>
            <w:tcW w:w="67"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The Company recorded intangible amortization expense related to customer relationship and core technology and know-how of $0.5 million and $0.9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respectively. The Company recorded intangible amortization expense related to customer relationship and core technology and know-how of $0.3 million and $0.7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respectively. The Company recorded intangible amortization expense related to backlog of $0.5 million and $1.0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respectively. The Company did not record any intangible amortization expense related to backlog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pPr>
      <w:r>
        <w:t> </w:t>
      </w:r>
    </w:p>
    <w:tbl>
      <w:tblPr>
        <w:tblW w:w="2775" w:type="dxa"/>
        <w:jc w:val="left"/>
        <w:tblInd w:w="0" w:type="dxa"/>
        <w:tblLayout w:type="fixed"/>
        <w:tblCellMar>
          <w:top w:w="0" w:type="dxa"/>
          <w:left w:w="0" w:type="dxa"/>
          <w:bottom w:w="0" w:type="dxa"/>
          <w:right w:w="0" w:type="dxa"/>
        </w:tblCellMar>
      </w:tblPr>
      <w:tblGrid>
        <w:gridCol w:w="2045"/>
        <w:gridCol w:w="60"/>
        <w:gridCol w:w="125"/>
        <w:gridCol w:w="485"/>
        <w:gridCol w:w="60"/>
      </w:tblGrid>
      <w:t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pPr>
            <w:r>
              <w:t> </w:t>
            </w:r>
          </w:p>
        </w:tc>
      </w:tr>
      <w:t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1,916</w:t>
            </w:r>
          </w:p>
        </w:tc>
        <w:tc>
          <w:tcPr>
            <w:tcW w:w="60" w:type="dxa"/>
            <w:tcBorders/>
            <w:shd w:fill="CCEEFF" w:val="clear"/>
            <w:vAlign w:val="center"/>
          </w:tcPr>
          <w:p>
            <w:pPr>
              <w:pStyle w:val="TableContents"/>
              <w:bidi w:val="0"/>
              <w:spacing w:before="0" w:after="283"/>
              <w:jc w:val="left"/>
            </w:pPr>
            <w:r>
              <w:t> </w:t>
            </w:r>
          </w:p>
        </w:tc>
      </w:tr>
      <w:t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3,464</w:t>
            </w:r>
          </w:p>
        </w:tc>
        <w:tc>
          <w:tcPr>
            <w:tcW w:w="60" w:type="dxa"/>
            <w:tcBorders/>
            <w:shd w:fill="FFFFFF" w:val="clear"/>
            <w:vAlign w:val="center"/>
          </w:tcPr>
          <w:p>
            <w:pPr>
              <w:pStyle w:val="TableContents"/>
              <w:bidi w:val="0"/>
              <w:spacing w:before="0" w:after="283"/>
              <w:jc w:val="left"/>
            </w:pPr>
            <w:r>
              <w:t> </w:t>
            </w:r>
          </w:p>
        </w:tc>
      </w:tr>
      <w:t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2,148</w:t>
            </w:r>
          </w:p>
        </w:tc>
        <w:tc>
          <w:tcPr>
            <w:tcW w:w="60" w:type="dxa"/>
            <w:tcBorders/>
            <w:shd w:fill="CCEEFF" w:val="clear"/>
            <w:vAlign w:val="center"/>
          </w:tcPr>
          <w:p>
            <w:pPr>
              <w:pStyle w:val="TableContents"/>
              <w:bidi w:val="0"/>
              <w:spacing w:before="0" w:after="283"/>
              <w:jc w:val="left"/>
            </w:pPr>
            <w:r>
              <w:t> </w:t>
            </w:r>
          </w:p>
        </w:tc>
      </w:tr>
      <w:t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w:t>
            </w:r>
          </w:p>
        </w:tc>
        <w:tc>
          <w:tcPr>
            <w:tcW w:w="60" w:type="dxa"/>
            <w:tcBorders/>
            <w:shd w:fill="FFFFFF" w:val="clear"/>
            <w:vAlign w:val="center"/>
          </w:tcPr>
          <w:p>
            <w:pPr>
              <w:pStyle w:val="TableContents"/>
              <w:bidi w:val="0"/>
              <w:spacing w:before="0" w:after="283"/>
              <w:jc w:val="left"/>
            </w:pPr>
            <w:r>
              <w:t> </w:t>
            </w:r>
          </w:p>
        </w:tc>
      </w:tr>
      <w:t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729</w:t>
            </w:r>
          </w:p>
        </w:tc>
        <w:tc>
          <w:tcPr>
            <w:tcW w:w="60" w:type="dxa"/>
            <w:tcBorders/>
            <w:shd w:fill="CCEEFF" w:val="clear"/>
            <w:vAlign w:val="center"/>
          </w:tcPr>
          <w:p>
            <w:pPr>
              <w:pStyle w:val="TableContents"/>
              <w:bidi w:val="0"/>
              <w:spacing w:before="0" w:after="283"/>
              <w:jc w:val="left"/>
            </w:pPr>
            <w:r>
              <w:t> </w:t>
            </w:r>
          </w:p>
        </w:tc>
      </w:tr>
      <w:t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w:t>
            </w:r>
          </w:p>
        </w:tc>
        <w:tc>
          <w:tcPr>
            <w:tcW w:w="60" w:type="dxa"/>
            <w:tcBorders/>
            <w:shd w:fill="FFFFFF" w:val="clear"/>
            <w:vAlign w:val="center"/>
          </w:tcPr>
          <w:p>
            <w:pPr>
              <w:pStyle w:val="TableContents"/>
              <w:bidi w:val="0"/>
              <w:spacing w:before="0" w:after="283"/>
              <w:jc w:val="left"/>
            </w:pPr>
            <w:r>
              <w:t> </w:t>
            </w:r>
          </w:p>
        </w:tc>
      </w:tr>
      <w:t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9,900</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segment operations and are physically located in the United States and Brazil. The following table summarizes the Company’s intangibles by geography (in thousands):</w:t>
      </w:r>
    </w:p>
    <w:p>
      <w:pPr>
        <w:pStyle w:val="TextBody"/>
        <w:bidi w:val="0"/>
        <w:spacing w:before="0" w:after="0"/>
        <w:ind w:left="0" w:right="0" w:firstLine="720"/>
        <w:jc w:val="both"/>
      </w:pPr>
      <w:r>
        <w:t> </w:t>
      </w:r>
    </w:p>
    <w:tbl>
      <w:tblPr>
        <w:tblW w:w="3748" w:type="dxa"/>
        <w:jc w:val="left"/>
        <w:tblInd w:w="0" w:type="dxa"/>
        <w:tblLayout w:type="fixed"/>
        <w:tblCellMar>
          <w:top w:w="0" w:type="dxa"/>
          <w:left w:w="0" w:type="dxa"/>
          <w:bottom w:w="0" w:type="dxa"/>
          <w:right w:w="0" w:type="dxa"/>
        </w:tblCellMar>
      </w:tblPr>
      <w:tblGrid>
        <w:gridCol w:w="515"/>
        <w:gridCol w:w="60"/>
        <w:gridCol w:w="288"/>
        <w:gridCol w:w="1366"/>
        <w:gridCol w:w="60"/>
        <w:gridCol w:w="60"/>
        <w:gridCol w:w="234"/>
        <w:gridCol w:w="1105"/>
        <w:gridCol w:w="60"/>
      </w:tblGrid>
      <w:tr>
        <w:tc>
          <w:tcPr>
            <w:tcW w:w="5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pPr>
            <w:r>
              <w:t> </w:t>
            </w:r>
          </w:p>
        </w:tc>
      </w:tr>
      <w:t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60" w:type="dxa"/>
            <w:tcBorders/>
            <w:shd w:fill="CCEEFF" w:val="clear"/>
            <w:vAlign w:val="center"/>
          </w:tcPr>
          <w:p>
            <w:pPr>
              <w:pStyle w:val="TableContents"/>
              <w:bidi w:val="0"/>
              <w:spacing w:before="0" w:after="283"/>
              <w:jc w:val="left"/>
            </w:pPr>
            <w:r>
              <w:t> </w:t>
            </w:r>
          </w:p>
        </w:tc>
      </w:tr>
      <w:tr>
        <w:tc>
          <w:tcPr>
            <w:tcW w:w="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shd w:fill="FFFFFF" w:val="clear"/>
            <w:vAlign w:val="center"/>
          </w:tcPr>
          <w:p>
            <w:pPr>
              <w:pStyle w:val="TableContents"/>
              <w:bidi w:val="0"/>
              <w:spacing w:before="0" w:after="283"/>
              <w:jc w:val="left"/>
            </w:pPr>
            <w: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8,981</w:t>
            </w:r>
          </w:p>
        </w:tc>
        <w:tc>
          <w:tcPr>
            <w:tcW w:w="60" w:type="dxa"/>
            <w:tcBorders/>
            <w:shd w:fill="FFFFFF" w:val="clear"/>
            <w:vAlign w:val="center"/>
          </w:tcPr>
          <w:p>
            <w:pPr>
              <w:pStyle w:val="TableContents"/>
              <w:bidi w:val="0"/>
              <w:spacing w:before="0" w:after="283"/>
              <w:jc w:val="left"/>
            </w:pPr>
            <w:r>
              <w:t> </w:t>
            </w:r>
          </w:p>
        </w:tc>
      </w:tr>
      <w:t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jc w:val="cente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7.</w:t>
      </w:r>
      <w:r>
        <w:rPr>
          <w:rFonts w:ascii="Times New Roman;Times;serif" w:hAnsi="Times New Roman;Times;serif"/>
          <w:b/>
          <w:sz w:val="20"/>
        </w:rPr>
        <w:t xml:space="preserve"> Fair Value Measurements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pPr>
      <w: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c>
          <w:tcPr>
            <w:tcW w:w="710" w:type="dxa"/>
            <w:tcBorders/>
            <w:vAlign w:val="center"/>
          </w:tcPr>
          <w:p>
            <w:pPr>
              <w:pStyle w:val="TableContents"/>
              <w:bidi w:val="0"/>
              <w:spacing w:before="0" w:after="0"/>
              <w:ind w:left="0" w:right="0" w:hanging="0"/>
              <w:jc w:val="both"/>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c>
          <w:tcPr>
            <w:tcW w:w="710" w:type="dxa"/>
            <w:tcBorders/>
            <w:vAlign w:val="center"/>
          </w:tcPr>
          <w:p>
            <w:pPr>
              <w:pStyle w:val="TableContents"/>
              <w:bidi w:val="0"/>
              <w:spacing w:before="0" w:after="0"/>
              <w:ind w:left="0" w:right="0" w:hanging="0"/>
              <w:jc w:val="left"/>
            </w:pPr>
            <w:r>
              <w:t> </w:t>
            </w:r>
          </w:p>
        </w:tc>
        <w:tc>
          <w:tcPr>
            <w:tcW w:w="80" w:type="dxa"/>
            <w:tcBorders/>
            <w:vAlign w:val="center"/>
          </w:tcPr>
          <w:p>
            <w:pPr>
              <w:pStyle w:val="TableContents"/>
              <w:bidi w:val="0"/>
              <w:spacing w:before="0" w:after="0"/>
              <w:ind w:left="0" w:right="0" w:hanging="0"/>
              <w:jc w:val="left"/>
            </w:pPr>
            <w:r>
              <w:t> </w:t>
            </w:r>
          </w:p>
        </w:tc>
        <w:tc>
          <w:tcPr>
            <w:tcW w:w="9415" w:type="dxa"/>
            <w:tcBorders/>
            <w:vAlign w:val="center"/>
          </w:tcPr>
          <w:p>
            <w:pPr>
              <w:pStyle w:val="TableContents"/>
              <w:bidi w:val="0"/>
              <w:spacing w:before="0" w:after="0"/>
              <w:ind w:left="0" w:right="0" w:hanging="0"/>
              <w:jc w:val="left"/>
            </w:pPr>
            <w:r>
              <w:t> </w:t>
            </w:r>
          </w:p>
        </w:tc>
      </w:tr>
      <w:tr>
        <w:tc>
          <w:tcPr>
            <w:tcW w:w="710" w:type="dxa"/>
            <w:tcBorders/>
            <w:vAlign w:val="center"/>
          </w:tcPr>
          <w:p>
            <w:pPr>
              <w:pStyle w:val="TableContents"/>
              <w:bidi w:val="0"/>
              <w:spacing w:before="0" w:after="0"/>
              <w:ind w:left="0" w:right="0" w:hanging="0"/>
              <w:jc w:val="both"/>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c>
          <w:tcPr>
            <w:tcW w:w="710" w:type="dxa"/>
            <w:tcBorders/>
            <w:vAlign w:val="center"/>
          </w:tcPr>
          <w:p>
            <w:pPr>
              <w:pStyle w:val="TableContents"/>
              <w:bidi w:val="0"/>
              <w:spacing w:before="0" w:after="0"/>
              <w:ind w:left="0" w:right="0" w:hanging="0"/>
              <w:jc w:val="left"/>
            </w:pPr>
            <w:r>
              <w:t> </w:t>
            </w:r>
          </w:p>
        </w:tc>
        <w:tc>
          <w:tcPr>
            <w:tcW w:w="80" w:type="dxa"/>
            <w:tcBorders/>
            <w:vAlign w:val="center"/>
          </w:tcPr>
          <w:p>
            <w:pPr>
              <w:pStyle w:val="TableContents"/>
              <w:bidi w:val="0"/>
              <w:spacing w:before="0" w:after="0"/>
              <w:ind w:left="0" w:right="0" w:hanging="0"/>
              <w:jc w:val="left"/>
            </w:pPr>
            <w:r>
              <w:t> </w:t>
            </w:r>
          </w:p>
        </w:tc>
        <w:tc>
          <w:tcPr>
            <w:tcW w:w="9415" w:type="dxa"/>
            <w:tcBorders/>
            <w:vAlign w:val="center"/>
          </w:tcPr>
          <w:p>
            <w:pPr>
              <w:pStyle w:val="TableContents"/>
              <w:bidi w:val="0"/>
              <w:spacing w:before="0" w:after="0"/>
              <w:ind w:left="0" w:right="0" w:hanging="0"/>
              <w:jc w:val="left"/>
            </w:pPr>
            <w:r>
              <w:t> </w:t>
            </w:r>
          </w:p>
        </w:tc>
      </w:tr>
      <w:tr>
        <w:tc>
          <w:tcPr>
            <w:tcW w:w="710" w:type="dxa"/>
            <w:tcBorders/>
            <w:vAlign w:val="center"/>
          </w:tcPr>
          <w:p>
            <w:pPr>
              <w:pStyle w:val="TableContents"/>
              <w:bidi w:val="0"/>
              <w:spacing w:before="0" w:after="0"/>
              <w:ind w:left="0" w:right="0" w:hanging="0"/>
              <w:jc w:val="both"/>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pPr>
      <w:r>
        <w:t> </w:t>
      </w:r>
    </w:p>
    <w:p>
      <w:pPr>
        <w:pStyle w:val="TextBody"/>
        <w:bidi w:val="0"/>
        <w:spacing w:before="0" w:after="0"/>
        <w:ind w:left="0" w:right="0" w:firstLine="720"/>
        <w:jc w:val="both"/>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2026</w:t>
      </w:r>
      <w:r>
        <w:rPr>
          <w:rFonts w:ascii="Times New Roman;Times;serif" w:hAnsi="Times New Roman;Times;serif"/>
          <w:sz w:val="20"/>
        </w:rPr>
        <w:t>.</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money market accounts.</w:t>
      </w:r>
    </w:p>
    <w:p>
      <w:pPr>
        <w:pStyle w:val="TextBody"/>
        <w:bidi w:val="0"/>
        <w:spacing w:before="0" w:after="0"/>
        <w:ind w:left="0" w:right="0" w:firstLine="720"/>
        <w:jc w:val="both"/>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Short-term Cash Instruments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Short-term cash instruments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and are classified within Level </w:t>
      </w:r>
      <w:r>
        <w:rPr>
          <w:rStyle w:val="Emphasis"/>
          <w:rFonts w:ascii="Times New Roman;Times;serif" w:hAnsi="Times New Roman;Times;serif"/>
          <w:sz w:val="20"/>
        </w:rPr>
        <w:t>2</w:t>
      </w:r>
      <w:r>
        <w:rPr>
          <w:rFonts w:ascii="Times New Roman;Times;serif" w:hAnsi="Times New Roman;Times;serif"/>
          <w:sz w:val="20"/>
        </w:rPr>
        <w:t> of the valuation hierarchy. Short-term cash instruments consist principally of certificates of deposits.</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Contingent consideration relates to the earnout payment set forth in the Stock Exchange Agreement governing the acquisition of Comtrafo that provides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receive an additional sum of cash upon the achievement of certain specified EBITDA objectives during the </w:t>
      </w:r>
      <w:r>
        <w:rPr>
          <w:rStyle w:val="Emphasis"/>
          <w:rFonts w:ascii="Times New Roman;Times;serif" w:hAnsi="Times New Roman;Times;serif"/>
          <w:sz w:val="20"/>
        </w:rPr>
        <w:t>three</w:t>
      </w:r>
      <w:r>
        <w:rPr>
          <w:rFonts w:ascii="Times New Roman;Times;serif" w:hAnsi="Times New Roman;Times;serif"/>
          <w:sz w:val="20"/>
        </w:rPr>
        <w:t xml:space="preserve"> years following the Comtrafo Acquisition Date. See Note </w:t>
      </w:r>
      <w:r>
        <w:rPr>
          <w:rStyle w:val="Emphasis"/>
          <w:rFonts w:ascii="Times New Roman;Times;serif" w:hAnsi="Times New Roman;Times;serif"/>
          <w:sz w:val="20"/>
        </w:rPr>
        <w:t>14,</w:t>
      </w:r>
      <w:r>
        <w:rPr>
          <w:rFonts w:ascii="Times New Roman;Times;serif" w:hAnsi="Times New Roman;Times;serif"/>
          <w:sz w:val="20"/>
        </w:rPr>
        <w:t xml:space="preserve"> “Contingent Consideration” for further discussion. The Company relied on a Monte Carlo method to determine the fair value of the contingent consideration on the closing of the acquisition of Comtrafo and continues to revalue the fair value of the contingent consideration using the same method at each subsequent balance sheet date until the contingencies are resolved and the cash to be paid is determined, with the change in fair value recorded in the current period operating income (loss). For the period ended </w:t>
      </w:r>
      <w:r>
        <w:rPr>
          <w:rStyle w:val="Emphasis"/>
          <w:rFonts w:ascii="Times New Roman;Times;serif" w:hAnsi="Times New Roman;Times;serif"/>
          <w:sz w:val="20"/>
        </w:rPr>
        <w:t>September 30, 2026</w:t>
      </w:r>
      <w:r>
        <w:rPr>
          <w:rFonts w:ascii="Times New Roman;Times;serif" w:hAnsi="Times New Roman;Times;serif"/>
          <w:sz w:val="20"/>
        </w:rPr>
        <w:t>, the change in fair value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were decreases of $1.3 million and $9.4 million, respectively. There was no such activity related to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Contingent consideration is classified within the Level </w:t>
      </w:r>
      <w:r>
        <w:rPr>
          <w:rStyle w:val="Emphasis"/>
          <w:rFonts w:ascii="Times New Roman;Times;serif" w:hAnsi="Times New Roman;Times;serif"/>
          <w:sz w:val="20"/>
        </w:rPr>
        <w:t>3</w:t>
      </w:r>
      <w:r>
        <w:rPr>
          <w:rFonts w:ascii="Times New Roman;Times;serif" w:hAnsi="Times New Roman;Times;serif"/>
          <w:sz w:val="20"/>
        </w:rPr>
        <w:t xml:space="preserve"> valuation hierarchy. </w:t>
      </w:r>
    </w:p>
    <w:p>
      <w:pPr>
        <w:pStyle w:val="TextBody"/>
        <w:bidi w:val="0"/>
        <w:spacing w:before="0" w:after="0"/>
        <w:ind w:left="0" w:right="0" w:firstLine="720"/>
        <w:jc w:val="both"/>
      </w:pPr>
      <w:r>
        <w:t> </w:t>
      </w:r>
    </w:p>
    <w:p>
      <w:pPr>
        <w:pStyle w:val="TextBody"/>
        <w:bidi w:val="0"/>
        <w:spacing w:before="0" w:after="0"/>
        <w:jc w:val="cente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(in thousands):</w:t>
      </w:r>
    </w:p>
    <w:p>
      <w:pPr>
        <w:pStyle w:val="TextBody"/>
        <w:bidi w:val="0"/>
        <w:spacing w:before="0" w:after="0"/>
        <w:ind w:left="0" w:right="0" w:firstLine="555"/>
        <w:jc w:val="both"/>
      </w:pPr>
      <w:r>
        <w:t> </w:t>
      </w:r>
    </w:p>
    <w:tbl>
      <w:tblPr>
        <w:tblW w:w="10205" w:type="dxa"/>
        <w:jc w:val="left"/>
        <w:tblInd w:w="0" w:type="dxa"/>
        <w:tblLayout w:type="fixed"/>
        <w:tblCellMar>
          <w:top w:w="0" w:type="dxa"/>
          <w:left w:w="0" w:type="dxa"/>
          <w:bottom w:w="0" w:type="dxa"/>
          <w:right w:w="0" w:type="dxa"/>
        </w:tblCellMar>
      </w:tblPr>
      <w:tblGrid>
        <w:gridCol w:w="1930"/>
        <w:gridCol w:w="60"/>
        <w:gridCol w:w="194"/>
        <w:gridCol w:w="1081"/>
        <w:gridCol w:w="60"/>
        <w:gridCol w:w="60"/>
        <w:gridCol w:w="311"/>
        <w:gridCol w:w="1731"/>
        <w:gridCol w:w="60"/>
        <w:gridCol w:w="60"/>
        <w:gridCol w:w="459"/>
        <w:gridCol w:w="1791"/>
        <w:gridCol w:w="60"/>
        <w:gridCol w:w="60"/>
        <w:gridCol w:w="387"/>
        <w:gridCol w:w="1837"/>
        <w:gridCol w:w="64"/>
      </w:tblGrid>
      <w:tr>
        <w:tc>
          <w:tcPr>
            <w:tcW w:w="19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pPr>
            <w:r>
              <w:t> </w:t>
            </w:r>
          </w:p>
        </w:tc>
      </w:tr>
      <w:tr>
        <w:tc>
          <w:tcPr>
            <w:tcW w:w="19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September 30, 2026:</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11" w:type="dxa"/>
            <w:tcBorders/>
            <w:shd w:fill="CCEEFF" w:val="clear"/>
            <w:vAlign w:val="center"/>
          </w:tcPr>
          <w:p>
            <w:pPr>
              <w:pStyle w:val="TableContents"/>
              <w:bidi w:val="0"/>
              <w:spacing w:before="0" w:after="283"/>
              <w:jc w:val="left"/>
            </w:pPr>
            <w:r>
              <w:t> </w:t>
            </w:r>
          </w:p>
        </w:tc>
        <w:tc>
          <w:tcPr>
            <w:tcW w:w="173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59" w:type="dxa"/>
            <w:tcBorders/>
            <w:shd w:fill="CCEEFF" w:val="clear"/>
            <w:vAlign w:val="center"/>
          </w:tcPr>
          <w:p>
            <w:pPr>
              <w:pStyle w:val="TableContents"/>
              <w:bidi w:val="0"/>
              <w:spacing w:before="0" w:after="283"/>
              <w:jc w:val="left"/>
            </w:pPr>
            <w:r>
              <w:t> </w:t>
            </w:r>
          </w:p>
        </w:tc>
        <w:tc>
          <w:tcPr>
            <w:tcW w:w="17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7" w:type="dxa"/>
            <w:tcBorders/>
            <w:shd w:fill="CCEEFF" w:val="clear"/>
            <w:vAlign w:val="center"/>
          </w:tcPr>
          <w:p>
            <w:pPr>
              <w:pStyle w:val="TableContents"/>
              <w:bidi w:val="0"/>
              <w:spacing w:before="0" w:after="283"/>
              <w:jc w:val="left"/>
            </w:pPr>
            <w:r>
              <w:t> </w:t>
            </w:r>
          </w:p>
        </w:tc>
        <w:tc>
          <w:tcPr>
            <w:tcW w:w="1837"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r>
      <w:tr>
        <w:tc>
          <w:tcPr>
            <w:tcW w:w="19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Assets:</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108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11" w:type="dxa"/>
            <w:tcBorders/>
            <w:shd w:fill="FFFFFF" w:val="clear"/>
            <w:vAlign w:val="center"/>
          </w:tcPr>
          <w:p>
            <w:pPr>
              <w:pStyle w:val="TableContents"/>
              <w:bidi w:val="0"/>
              <w:spacing w:before="0" w:after="283"/>
              <w:jc w:val="left"/>
            </w:pPr>
            <w:r>
              <w:t> </w:t>
            </w:r>
          </w:p>
        </w:tc>
        <w:tc>
          <w:tcPr>
            <w:tcW w:w="173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59" w:type="dxa"/>
            <w:tcBorders/>
            <w:shd w:fill="FFFFFF" w:val="clear"/>
            <w:vAlign w:val="center"/>
          </w:tcPr>
          <w:p>
            <w:pPr>
              <w:pStyle w:val="TableContents"/>
              <w:bidi w:val="0"/>
              <w:spacing w:before="0" w:after="283"/>
              <w:jc w:val="left"/>
            </w:pPr>
            <w:r>
              <w:t> </w:t>
            </w:r>
          </w:p>
        </w:tc>
        <w:tc>
          <w:tcPr>
            <w:tcW w:w="179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7" w:type="dxa"/>
            <w:tcBorders/>
            <w:shd w:fill="FFFFFF" w:val="clear"/>
            <w:vAlign w:val="center"/>
          </w:tcPr>
          <w:p>
            <w:pPr>
              <w:pStyle w:val="TableContents"/>
              <w:bidi w:val="0"/>
              <w:spacing w:before="0" w:after="283"/>
              <w:jc w:val="left"/>
            </w:pPr>
            <w:r>
              <w:t> </w:t>
            </w:r>
          </w:p>
        </w:tc>
        <w:tc>
          <w:tcPr>
            <w:tcW w:w="1837"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r>
      <w:tr>
        <w:tc>
          <w:tcPr>
            <w:tcW w:w="193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94" w:type="dxa"/>
            <w:tcBorders/>
            <w:shd w:fill="CCEEFF" w:val="clear"/>
            <w:vAlign w:val="center"/>
          </w:tcPr>
          <w:p>
            <w:pPr>
              <w:pStyle w:val="TableContents"/>
              <w:bidi w:val="0"/>
              <w:spacing w:before="0" w:after="283"/>
              <w:ind w:left="0" w:right="0" w:hanging="0"/>
              <w:jc w:val="left"/>
              <w:rPr>
                <w:sz w:val="20"/>
              </w:rPr>
            </w:pPr>
            <w:r>
              <w:rPr>
                <w:sz w:val="20"/>
              </w:rPr>
              <w:t>$</w:t>
            </w:r>
          </w:p>
        </w:tc>
        <w:tc>
          <w:tcPr>
            <w:tcW w:w="1081" w:type="dxa"/>
            <w:tcBorders/>
            <w:shd w:fill="CCEEFF" w:val="clear"/>
            <w:vAlign w:val="center"/>
          </w:tcPr>
          <w:p>
            <w:pPr>
              <w:pStyle w:val="TableContents"/>
              <w:bidi w:val="0"/>
              <w:spacing w:before="0" w:after="283"/>
              <w:ind w:left="0" w:right="0" w:hanging="0"/>
              <w:jc w:val="right"/>
              <w:rPr>
                <w:sz w:val="20"/>
              </w:rPr>
            </w:pPr>
            <w:r>
              <w:rPr>
                <w:sz w:val="20"/>
              </w:rPr>
              <w:t>117,838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11" w:type="dxa"/>
            <w:tcBorders/>
            <w:shd w:fill="CCEEFF" w:val="clear"/>
            <w:vAlign w:val="center"/>
          </w:tcPr>
          <w:p>
            <w:pPr>
              <w:pStyle w:val="TableContents"/>
              <w:bidi w:val="0"/>
              <w:spacing w:before="0" w:after="283"/>
              <w:ind w:left="0" w:right="0" w:hanging="0"/>
              <w:jc w:val="left"/>
              <w:rPr>
                <w:sz w:val="20"/>
              </w:rPr>
            </w:pPr>
            <w:r>
              <w:rPr>
                <w:sz w:val="20"/>
              </w:rPr>
              <w:t>$</w:t>
            </w:r>
          </w:p>
        </w:tc>
        <w:tc>
          <w:tcPr>
            <w:tcW w:w="1731" w:type="dxa"/>
            <w:tcBorders/>
            <w:shd w:fill="CCEEFF" w:val="clear"/>
            <w:vAlign w:val="center"/>
          </w:tcPr>
          <w:p>
            <w:pPr>
              <w:pStyle w:val="TableContents"/>
              <w:bidi w:val="0"/>
              <w:spacing w:before="0" w:after="283"/>
              <w:ind w:left="0" w:right="0" w:hanging="0"/>
              <w:jc w:val="right"/>
              <w:rPr>
                <w:sz w:val="20"/>
              </w:rPr>
            </w:pPr>
            <w:r>
              <w:rPr>
                <w:sz w:val="20"/>
              </w:rPr>
              <w:t>117,838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59" w:type="dxa"/>
            <w:tcBorders/>
            <w:shd w:fill="CCEEFF" w:val="clear"/>
            <w:vAlign w:val="center"/>
          </w:tcPr>
          <w:p>
            <w:pPr>
              <w:pStyle w:val="TableContents"/>
              <w:bidi w:val="0"/>
              <w:spacing w:before="0" w:after="283"/>
              <w:ind w:left="0" w:right="0" w:hanging="0"/>
              <w:jc w:val="left"/>
              <w:rPr>
                <w:sz w:val="20"/>
              </w:rPr>
            </w:pPr>
            <w:r>
              <w:rPr>
                <w:sz w:val="20"/>
              </w:rPr>
              <w:t>$</w:t>
            </w:r>
          </w:p>
        </w:tc>
        <w:tc>
          <w:tcPr>
            <w:tcW w:w="179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7" w:type="dxa"/>
            <w:tcBorders/>
            <w:shd w:fill="CCEEFF" w:val="clear"/>
            <w:vAlign w:val="center"/>
          </w:tcPr>
          <w:p>
            <w:pPr>
              <w:pStyle w:val="TableContents"/>
              <w:bidi w:val="0"/>
              <w:spacing w:before="0" w:after="283"/>
              <w:ind w:left="0" w:right="0" w:hanging="0"/>
              <w:jc w:val="left"/>
              <w:rPr>
                <w:sz w:val="20"/>
              </w:rPr>
            </w:pPr>
            <w:r>
              <w:rPr>
                <w:sz w:val="20"/>
              </w:rPr>
              <w:t>$</w:t>
            </w:r>
          </w:p>
        </w:tc>
        <w:tc>
          <w:tcPr>
            <w:tcW w:w="1837" w:type="dxa"/>
            <w:tcBorders/>
            <w:shd w:fill="CCEEFF" w:val="clear"/>
            <w:vAlign w:val="center"/>
          </w:tcPr>
          <w:p>
            <w:pPr>
              <w:pStyle w:val="TableContents"/>
              <w:bidi w:val="0"/>
              <w:spacing w:before="0" w:after="283"/>
              <w:ind w:left="0" w:right="0" w:hanging="0"/>
              <w:jc w:val="right"/>
            </w:pPr>
            <w:r>
              <w:t>—</w:t>
            </w:r>
          </w:p>
        </w:tc>
        <w:tc>
          <w:tcPr>
            <w:tcW w:w="64" w:type="dxa"/>
            <w:tcBorders/>
            <w:shd w:fill="CCEEFF" w:val="clear"/>
            <w:vAlign w:val="center"/>
          </w:tcPr>
          <w:p>
            <w:pPr>
              <w:pStyle w:val="TableContents"/>
              <w:bidi w:val="0"/>
              <w:spacing w:before="0" w:after="283"/>
              <w:jc w:val="left"/>
            </w:pPr>
            <w:r>
              <w:t> </w:t>
            </w:r>
          </w:p>
        </w:tc>
      </w:tr>
      <w:tr>
        <w:tc>
          <w:tcPr>
            <w:tcW w:w="1930"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Short-term cash instruments</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sz w:val="20"/>
              </w:rPr>
            </w:pPr>
            <w:r>
              <w:rPr>
                <w:sz w:val="20"/>
              </w:rPr>
              <w:t>$</w:t>
            </w:r>
          </w:p>
        </w:tc>
        <w:tc>
          <w:tcPr>
            <w:tcW w:w="1081" w:type="dxa"/>
            <w:tcBorders/>
            <w:shd w:fill="FFFFFF" w:val="clear"/>
            <w:vAlign w:val="center"/>
          </w:tcPr>
          <w:p>
            <w:pPr>
              <w:pStyle w:val="TableContents"/>
              <w:bidi w:val="0"/>
              <w:spacing w:before="0" w:after="283"/>
              <w:ind w:left="0" w:right="0" w:hanging="0"/>
              <w:jc w:val="right"/>
              <w:rPr>
                <w:sz w:val="20"/>
              </w:rPr>
            </w:pPr>
            <w:r>
              <w:rPr>
                <w:sz w:val="20"/>
              </w:rPr>
              <w:t>1,564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11" w:type="dxa"/>
            <w:tcBorders/>
            <w:shd w:fill="FFFFFF" w:val="clear"/>
            <w:vAlign w:val="center"/>
          </w:tcPr>
          <w:p>
            <w:pPr>
              <w:pStyle w:val="TableContents"/>
              <w:bidi w:val="0"/>
              <w:spacing w:before="0" w:after="283"/>
              <w:ind w:left="0" w:right="0" w:hanging="0"/>
              <w:jc w:val="left"/>
              <w:rPr>
                <w:sz w:val="20"/>
              </w:rPr>
            </w:pPr>
            <w:r>
              <w:rPr>
                <w:sz w:val="20"/>
              </w:rPr>
              <w:t>$</w:t>
            </w:r>
          </w:p>
        </w:tc>
        <w:tc>
          <w:tcPr>
            <w:tcW w:w="173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59" w:type="dxa"/>
            <w:tcBorders/>
            <w:shd w:fill="FFFFFF" w:val="clear"/>
            <w:vAlign w:val="center"/>
          </w:tcPr>
          <w:p>
            <w:pPr>
              <w:pStyle w:val="TableContents"/>
              <w:bidi w:val="0"/>
              <w:spacing w:before="0" w:after="283"/>
              <w:ind w:left="0" w:right="0" w:hanging="0"/>
              <w:jc w:val="left"/>
              <w:rPr>
                <w:sz w:val="20"/>
              </w:rPr>
            </w:pPr>
            <w:r>
              <w:rPr>
                <w:sz w:val="20"/>
              </w:rPr>
              <w:t>$</w:t>
            </w:r>
          </w:p>
        </w:tc>
        <w:tc>
          <w:tcPr>
            <w:tcW w:w="1791" w:type="dxa"/>
            <w:tcBorders/>
            <w:shd w:fill="FFFFFF" w:val="clear"/>
            <w:vAlign w:val="center"/>
          </w:tcPr>
          <w:p>
            <w:pPr>
              <w:pStyle w:val="TableContents"/>
              <w:bidi w:val="0"/>
              <w:spacing w:before="0" w:after="283"/>
              <w:ind w:left="0" w:right="0" w:hanging="0"/>
              <w:jc w:val="right"/>
              <w:rPr>
                <w:sz w:val="20"/>
              </w:rPr>
            </w:pPr>
            <w:r>
              <w:rPr>
                <w:sz w:val="20"/>
              </w:rPr>
              <w:t>1,564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7" w:type="dxa"/>
            <w:tcBorders/>
            <w:shd w:fill="FFFFFF" w:val="clear"/>
            <w:vAlign w:val="center"/>
          </w:tcPr>
          <w:p>
            <w:pPr>
              <w:pStyle w:val="TableContents"/>
              <w:bidi w:val="0"/>
              <w:spacing w:before="0" w:after="283"/>
              <w:ind w:left="0" w:right="0" w:hanging="0"/>
              <w:jc w:val="left"/>
              <w:rPr>
                <w:sz w:val="20"/>
              </w:rPr>
            </w:pPr>
            <w:r>
              <w:rPr>
                <w:sz w:val="20"/>
              </w:rPr>
              <w:t>$</w:t>
            </w:r>
          </w:p>
        </w:tc>
        <w:tc>
          <w:tcPr>
            <w:tcW w:w="1837" w:type="dxa"/>
            <w:tcBorders/>
            <w:shd w:fill="FFFFFF" w:val="clear"/>
            <w:vAlign w:val="center"/>
          </w:tcPr>
          <w:p>
            <w:pPr>
              <w:pStyle w:val="TableContents"/>
              <w:bidi w:val="0"/>
              <w:spacing w:before="0" w:after="283"/>
              <w:ind w:left="0" w:right="0" w:hanging="0"/>
              <w:jc w:val="right"/>
            </w:pPr>
            <w:r>
              <w:t>—</w:t>
            </w:r>
          </w:p>
        </w:tc>
        <w:tc>
          <w:tcPr>
            <w:tcW w:w="64" w:type="dxa"/>
            <w:tcBorders/>
            <w:shd w:fill="FFFFFF" w:val="clear"/>
            <w:vAlign w:val="center"/>
          </w:tcPr>
          <w:p>
            <w:pPr>
              <w:pStyle w:val="TableContents"/>
              <w:bidi w:val="0"/>
              <w:spacing w:before="0" w:after="283"/>
              <w:jc w:val="left"/>
            </w:pPr>
            <w:r>
              <w:t> </w:t>
            </w:r>
          </w:p>
        </w:tc>
      </w:tr>
      <w:tr>
        <w:tc>
          <w:tcPr>
            <w:tcW w:w="19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11" w:type="dxa"/>
            <w:tcBorders/>
            <w:shd w:fill="CCEEFF" w:val="clear"/>
            <w:vAlign w:val="center"/>
          </w:tcPr>
          <w:p>
            <w:pPr>
              <w:pStyle w:val="TableContents"/>
              <w:bidi w:val="0"/>
              <w:spacing w:before="0" w:after="283"/>
              <w:jc w:val="left"/>
            </w:pPr>
            <w:r>
              <w:t> </w:t>
            </w:r>
          </w:p>
        </w:tc>
        <w:tc>
          <w:tcPr>
            <w:tcW w:w="173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59" w:type="dxa"/>
            <w:tcBorders/>
            <w:shd w:fill="CCEEFF" w:val="clear"/>
            <w:vAlign w:val="center"/>
          </w:tcPr>
          <w:p>
            <w:pPr>
              <w:pStyle w:val="TableContents"/>
              <w:bidi w:val="0"/>
              <w:spacing w:before="0" w:after="283"/>
              <w:jc w:val="left"/>
            </w:pPr>
            <w:r>
              <w:t> </w:t>
            </w:r>
          </w:p>
        </w:tc>
        <w:tc>
          <w:tcPr>
            <w:tcW w:w="17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7" w:type="dxa"/>
            <w:tcBorders/>
            <w:shd w:fill="CCEEFF" w:val="clear"/>
            <w:vAlign w:val="center"/>
          </w:tcPr>
          <w:p>
            <w:pPr>
              <w:pStyle w:val="TableContents"/>
              <w:bidi w:val="0"/>
              <w:spacing w:before="0" w:after="283"/>
              <w:jc w:val="left"/>
            </w:pPr>
            <w:r>
              <w:t> </w:t>
            </w:r>
          </w:p>
        </w:tc>
        <w:tc>
          <w:tcPr>
            <w:tcW w:w="1837"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r>
      <w:tr>
        <w:tc>
          <w:tcPr>
            <w:tcW w:w="193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rPr>
                <w:sz w:val="20"/>
              </w:rPr>
            </w:pPr>
            <w:r>
              <w:rPr>
                <w:sz w:val="20"/>
              </w:rPr>
              <w:t>$</w:t>
            </w:r>
          </w:p>
        </w:tc>
        <w:tc>
          <w:tcPr>
            <w:tcW w:w="1081" w:type="dxa"/>
            <w:tcBorders/>
            <w:shd w:fill="FFFFFF" w:val="clear"/>
            <w:vAlign w:val="center"/>
          </w:tcPr>
          <w:p>
            <w:pPr>
              <w:pStyle w:val="TableContents"/>
              <w:bidi w:val="0"/>
              <w:spacing w:before="0" w:after="283"/>
              <w:jc w:val="right"/>
              <w:rPr>
                <w:sz w:val="20"/>
              </w:rPr>
            </w:pPr>
            <w:r>
              <w:rPr>
                <w:sz w:val="20"/>
              </w:rPr>
              <w:t>6,189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11" w:type="dxa"/>
            <w:tcBorders/>
            <w:shd w:fill="FFFFFF" w:val="clear"/>
            <w:vAlign w:val="center"/>
          </w:tcPr>
          <w:p>
            <w:pPr>
              <w:pStyle w:val="TableContents"/>
              <w:bidi w:val="0"/>
              <w:spacing w:before="0" w:after="283"/>
              <w:jc w:val="left"/>
              <w:rPr>
                <w:sz w:val="20"/>
              </w:rPr>
            </w:pPr>
            <w:r>
              <w:rPr>
                <w:sz w:val="20"/>
              </w:rPr>
              <w:t>$</w:t>
            </w:r>
          </w:p>
        </w:tc>
        <w:tc>
          <w:tcPr>
            <w:tcW w:w="173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59" w:type="dxa"/>
            <w:tcBorders/>
            <w:shd w:fill="FFFFFF" w:val="clear"/>
            <w:vAlign w:val="center"/>
          </w:tcPr>
          <w:p>
            <w:pPr>
              <w:pStyle w:val="TableContents"/>
              <w:bidi w:val="0"/>
              <w:spacing w:before="0" w:after="283"/>
              <w:jc w:val="left"/>
              <w:rPr>
                <w:sz w:val="20"/>
              </w:rPr>
            </w:pPr>
            <w:r>
              <w:rPr>
                <w:sz w:val="20"/>
              </w:rPr>
              <w:t>$</w:t>
            </w:r>
          </w:p>
        </w:tc>
        <w:tc>
          <w:tcPr>
            <w:tcW w:w="179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7" w:type="dxa"/>
            <w:tcBorders/>
            <w:shd w:fill="FFFFFF" w:val="clear"/>
            <w:vAlign w:val="center"/>
          </w:tcPr>
          <w:p>
            <w:pPr>
              <w:pStyle w:val="TableContents"/>
              <w:bidi w:val="0"/>
              <w:spacing w:before="0" w:after="283"/>
              <w:jc w:val="left"/>
              <w:rPr>
                <w:sz w:val="20"/>
              </w:rPr>
            </w:pPr>
            <w:r>
              <w:rPr>
                <w:sz w:val="20"/>
              </w:rPr>
              <w:t>$</w:t>
            </w:r>
          </w:p>
        </w:tc>
        <w:tc>
          <w:tcPr>
            <w:tcW w:w="1837" w:type="dxa"/>
            <w:tcBorders/>
            <w:shd w:fill="FFFFFF" w:val="clear"/>
            <w:vAlign w:val="center"/>
          </w:tcPr>
          <w:p>
            <w:pPr>
              <w:pStyle w:val="TableContents"/>
              <w:bidi w:val="0"/>
              <w:spacing w:before="0" w:after="283"/>
              <w:jc w:val="right"/>
              <w:rPr>
                <w:sz w:val="20"/>
              </w:rPr>
            </w:pPr>
            <w:r>
              <w:rPr>
                <w:sz w:val="20"/>
              </w:rPr>
              <w:t>6,189</w:t>
            </w:r>
          </w:p>
        </w:tc>
        <w:tc>
          <w:tcPr>
            <w:tcW w:w="64" w:type="dxa"/>
            <w:tcBorders/>
            <w:shd w:fill="FFFFFF" w:val="clear"/>
            <w:vAlign w:val="center"/>
          </w:tcPr>
          <w:p>
            <w:pPr>
              <w:pStyle w:val="TableContents"/>
              <w:bidi w:val="0"/>
              <w:spacing w:before="0" w:after="283"/>
              <w:jc w:val="left"/>
            </w:pPr>
            <w:r>
              <w:t> </w:t>
            </w:r>
          </w:p>
        </w:tc>
      </w:tr>
      <w:tr>
        <w:tc>
          <w:tcPr>
            <w:tcW w:w="19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108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11" w:type="dxa"/>
            <w:tcBorders/>
            <w:shd w:fill="CCEEFF" w:val="clear"/>
            <w:vAlign w:val="center"/>
          </w:tcPr>
          <w:p>
            <w:pPr>
              <w:pStyle w:val="TableContents"/>
              <w:bidi w:val="0"/>
              <w:spacing w:before="0" w:after="283"/>
              <w:jc w:val="left"/>
            </w:pPr>
            <w:r>
              <w:t> </w:t>
            </w:r>
          </w:p>
        </w:tc>
        <w:tc>
          <w:tcPr>
            <w:tcW w:w="173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59" w:type="dxa"/>
            <w:tcBorders/>
            <w:shd w:fill="CCEEFF" w:val="clear"/>
            <w:vAlign w:val="center"/>
          </w:tcPr>
          <w:p>
            <w:pPr>
              <w:pStyle w:val="TableContents"/>
              <w:bidi w:val="0"/>
              <w:spacing w:before="0" w:after="283"/>
              <w:jc w:val="left"/>
            </w:pPr>
            <w:r>
              <w:t> </w:t>
            </w:r>
          </w:p>
        </w:tc>
        <w:tc>
          <w:tcPr>
            <w:tcW w:w="179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7" w:type="dxa"/>
            <w:tcBorders/>
            <w:shd w:fill="CCEEFF" w:val="clear"/>
            <w:vAlign w:val="center"/>
          </w:tcPr>
          <w:p>
            <w:pPr>
              <w:pStyle w:val="TableContents"/>
              <w:bidi w:val="0"/>
              <w:spacing w:before="0" w:after="283"/>
              <w:jc w:val="left"/>
            </w:pPr>
            <w:r>
              <w:t> </w:t>
            </w:r>
          </w:p>
        </w:tc>
        <w:tc>
          <w:tcPr>
            <w:tcW w:w="1837"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r>
      <w:tr>
        <w:tc>
          <w:tcPr>
            <w:tcW w:w="193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rPr>
                <w:sz w:val="20"/>
              </w:rPr>
            </w:pPr>
            <w:r>
              <w:rPr>
                <w:sz w:val="20"/>
              </w:rPr>
              <w:t>$</w:t>
            </w:r>
          </w:p>
        </w:tc>
        <w:tc>
          <w:tcPr>
            <w:tcW w:w="1081" w:type="dxa"/>
            <w:tcBorders/>
            <w:shd w:fill="FFFFFF" w:val="clear"/>
            <w:vAlign w:val="center"/>
          </w:tcPr>
          <w:p>
            <w:pPr>
              <w:pStyle w:val="TableContents"/>
              <w:bidi w:val="0"/>
              <w:spacing w:before="0" w:after="283"/>
              <w:jc w:val="right"/>
              <w:rPr>
                <w:sz w:val="20"/>
              </w:rPr>
            </w:pPr>
            <w:r>
              <w:rPr>
                <w:sz w:val="20"/>
              </w:rPr>
              <w:t>24,296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11" w:type="dxa"/>
            <w:tcBorders/>
            <w:shd w:fill="FFFFFF" w:val="clear"/>
            <w:vAlign w:val="center"/>
          </w:tcPr>
          <w:p>
            <w:pPr>
              <w:pStyle w:val="TableContents"/>
              <w:bidi w:val="0"/>
              <w:spacing w:before="0" w:after="283"/>
              <w:jc w:val="left"/>
              <w:rPr>
                <w:sz w:val="20"/>
              </w:rPr>
            </w:pPr>
            <w:r>
              <w:rPr>
                <w:sz w:val="20"/>
              </w:rPr>
              <w:t>$</w:t>
            </w:r>
          </w:p>
        </w:tc>
        <w:tc>
          <w:tcPr>
            <w:tcW w:w="173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59" w:type="dxa"/>
            <w:tcBorders/>
            <w:shd w:fill="FFFFFF" w:val="clear"/>
            <w:vAlign w:val="center"/>
          </w:tcPr>
          <w:p>
            <w:pPr>
              <w:pStyle w:val="TableContents"/>
              <w:bidi w:val="0"/>
              <w:spacing w:before="0" w:after="283"/>
              <w:jc w:val="left"/>
              <w:rPr>
                <w:sz w:val="20"/>
              </w:rPr>
            </w:pPr>
            <w:r>
              <w:rPr>
                <w:sz w:val="20"/>
              </w:rPr>
              <w:t>$</w:t>
            </w:r>
          </w:p>
        </w:tc>
        <w:tc>
          <w:tcPr>
            <w:tcW w:w="1791"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7" w:type="dxa"/>
            <w:tcBorders/>
            <w:shd w:fill="FFFFFF" w:val="clear"/>
            <w:vAlign w:val="center"/>
          </w:tcPr>
          <w:p>
            <w:pPr>
              <w:pStyle w:val="TableContents"/>
              <w:bidi w:val="0"/>
              <w:spacing w:before="0" w:after="283"/>
              <w:jc w:val="left"/>
              <w:rPr>
                <w:sz w:val="20"/>
              </w:rPr>
            </w:pPr>
            <w:r>
              <w:rPr>
                <w:sz w:val="20"/>
              </w:rPr>
              <w:t>$</w:t>
            </w:r>
          </w:p>
        </w:tc>
        <w:tc>
          <w:tcPr>
            <w:tcW w:w="1837" w:type="dxa"/>
            <w:tcBorders/>
            <w:shd w:fill="FFFFFF" w:val="clear"/>
            <w:vAlign w:val="center"/>
          </w:tcPr>
          <w:p>
            <w:pPr>
              <w:pStyle w:val="TableContents"/>
              <w:bidi w:val="0"/>
              <w:spacing w:before="0" w:after="283"/>
              <w:jc w:val="right"/>
              <w:rPr>
                <w:sz w:val="20"/>
              </w:rPr>
            </w:pPr>
            <w:r>
              <w:rPr>
                <w:sz w:val="20"/>
              </w:rPr>
              <w:t>24,296</w:t>
            </w:r>
          </w:p>
        </w:tc>
        <w:tc>
          <w:tcPr>
            <w:tcW w:w="64" w:type="dxa"/>
            <w:tcBorders/>
            <w:shd w:fill="FFFFFF" w:val="clear"/>
            <w:vAlign w:val="center"/>
          </w:tcPr>
          <w:p>
            <w:pPr>
              <w:pStyle w:val="TableContents"/>
              <w:bidi w:val="0"/>
              <w:spacing w:before="0" w:after="283"/>
              <w:jc w:val="left"/>
            </w:pPr>
            <w:r>
              <w:t> </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1690"/>
        <w:gridCol w:w="60"/>
        <w:gridCol w:w="198"/>
        <w:gridCol w:w="1104"/>
        <w:gridCol w:w="60"/>
        <w:gridCol w:w="60"/>
        <w:gridCol w:w="322"/>
        <w:gridCol w:w="1792"/>
        <w:gridCol w:w="60"/>
        <w:gridCol w:w="60"/>
        <w:gridCol w:w="475"/>
        <w:gridCol w:w="1853"/>
        <w:gridCol w:w="60"/>
        <w:gridCol w:w="60"/>
        <w:gridCol w:w="398"/>
        <w:gridCol w:w="1889"/>
        <w:gridCol w:w="64"/>
      </w:tblGrid>
      <w:tr>
        <w:tc>
          <w:tcPr>
            <w:tcW w:w="16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2"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4"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28"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87"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pPr>
            <w:r>
              <w:t> </w:t>
            </w:r>
          </w:p>
        </w:tc>
      </w:tr>
      <w:tr>
        <w:tc>
          <w:tcPr>
            <w:tcW w:w="1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2026</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0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jc w:val="left"/>
            </w:pPr>
            <w:r>
              <w:t> </w:t>
            </w:r>
          </w:p>
        </w:tc>
        <w:tc>
          <w:tcPr>
            <w:tcW w:w="1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75" w:type="dxa"/>
            <w:tcBorders/>
            <w:shd w:fill="CCEEFF" w:val="clear"/>
            <w:vAlign w:val="center"/>
          </w:tcPr>
          <w:p>
            <w:pPr>
              <w:pStyle w:val="TableContents"/>
              <w:bidi w:val="0"/>
              <w:spacing w:before="0" w:after="283"/>
              <w:jc w:val="left"/>
            </w:pPr>
            <w:r>
              <w:t> </w:t>
            </w:r>
          </w:p>
        </w:tc>
        <w:tc>
          <w:tcPr>
            <w:tcW w:w="185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98" w:type="dxa"/>
            <w:tcBorders/>
            <w:shd w:fill="CCEEFF" w:val="clear"/>
            <w:vAlign w:val="center"/>
          </w:tcPr>
          <w:p>
            <w:pPr>
              <w:pStyle w:val="TableContents"/>
              <w:bidi w:val="0"/>
              <w:spacing w:before="0" w:after="283"/>
              <w:jc w:val="left"/>
            </w:pPr>
            <w:r>
              <w:t> </w:t>
            </w:r>
          </w:p>
        </w:tc>
        <w:tc>
          <w:tcPr>
            <w:tcW w:w="1889"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r>
      <w:tr>
        <w:tc>
          <w:tcPr>
            <w:tcW w:w="16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110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2" w:type="dxa"/>
            <w:tcBorders/>
            <w:shd w:fill="FFFFFF" w:val="clear"/>
            <w:vAlign w:val="center"/>
          </w:tcPr>
          <w:p>
            <w:pPr>
              <w:pStyle w:val="TableContents"/>
              <w:bidi w:val="0"/>
              <w:spacing w:before="0" w:after="283"/>
              <w:jc w:val="left"/>
            </w:pPr>
            <w:r>
              <w:t> </w:t>
            </w:r>
          </w:p>
        </w:tc>
        <w:tc>
          <w:tcPr>
            <w:tcW w:w="17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75" w:type="dxa"/>
            <w:tcBorders/>
            <w:shd w:fill="FFFFFF" w:val="clear"/>
            <w:vAlign w:val="center"/>
          </w:tcPr>
          <w:p>
            <w:pPr>
              <w:pStyle w:val="TableContents"/>
              <w:bidi w:val="0"/>
              <w:spacing w:before="0" w:after="283"/>
              <w:jc w:val="left"/>
            </w:pPr>
            <w:r>
              <w:t> </w:t>
            </w:r>
          </w:p>
        </w:tc>
        <w:tc>
          <w:tcPr>
            <w:tcW w:w="185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98" w:type="dxa"/>
            <w:tcBorders/>
            <w:shd w:fill="FFFFFF" w:val="clear"/>
            <w:vAlign w:val="center"/>
          </w:tcPr>
          <w:p>
            <w:pPr>
              <w:pStyle w:val="TableContents"/>
              <w:bidi w:val="0"/>
              <w:spacing w:before="0" w:after="283"/>
              <w:jc w:val="left"/>
            </w:pPr>
            <w:r>
              <w:t> </w:t>
            </w:r>
          </w:p>
        </w:tc>
        <w:tc>
          <w:tcPr>
            <w:tcW w:w="1889"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r>
      <w:tr>
        <w:tc>
          <w:tcPr>
            <w:tcW w:w="169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9" w:type="dxa"/>
            <w:tcBorders/>
            <w:shd w:fill="CCEEFF" w:val="clear"/>
            <w:vAlign w:val="center"/>
          </w:tcPr>
          <w:p>
            <w:pPr>
              <w:pStyle w:val="TableContents"/>
              <w:bidi w:val="0"/>
              <w:spacing w:before="0" w:after="283"/>
              <w:ind w:left="0" w:right="0" w:hanging="0"/>
              <w:jc w:val="right"/>
            </w:pPr>
            <w:r>
              <w:t>—</w:t>
            </w:r>
          </w:p>
        </w:tc>
        <w:tc>
          <w:tcPr>
            <w:tcW w:w="64" w:type="dxa"/>
            <w:tcBorders/>
            <w:shd w:fill="CCEEFF" w:val="clear"/>
            <w:vAlign w:val="center"/>
          </w:tcPr>
          <w:p>
            <w:pPr>
              <w:pStyle w:val="TableContents"/>
              <w:bidi w:val="0"/>
              <w:spacing w:before="0" w:after="283"/>
              <w:jc w:val="left"/>
            </w:pPr>
            <w:r>
              <w:t> </w:t>
            </w:r>
          </w:p>
        </w:tc>
      </w:tr>
      <w:tr>
        <w:tc>
          <w:tcPr>
            <w:tcW w:w="16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Short-term cash instruments</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9" w:type="dxa"/>
            <w:tcBorders/>
            <w:shd w:fill="FFFFFF" w:val="clear"/>
            <w:vAlign w:val="center"/>
          </w:tcPr>
          <w:p>
            <w:pPr>
              <w:pStyle w:val="TableContents"/>
              <w:bidi w:val="0"/>
              <w:spacing w:before="0" w:after="283"/>
              <w:jc w:val="right"/>
            </w:pPr>
            <w:r>
              <w:t>—</w:t>
            </w:r>
          </w:p>
        </w:tc>
        <w:tc>
          <w:tcPr>
            <w:tcW w:w="64" w:type="dxa"/>
            <w:tcBorders/>
            <w:shd w:fill="FFFFFF" w:val="clear"/>
            <w:vAlign w:val="center"/>
          </w:tcPr>
          <w:p>
            <w:pPr>
              <w:pStyle w:val="TableContents"/>
              <w:bidi w:val="0"/>
              <w:spacing w:before="0" w:after="283"/>
              <w:jc w:val="left"/>
            </w:pPr>
            <w:r>
              <w:t> </w:t>
            </w:r>
          </w:p>
        </w:tc>
      </w:tr>
      <w:tr>
        <w:tc>
          <w:tcPr>
            <w:tcW w:w="1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0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jc w:val="left"/>
            </w:pPr>
            <w:r>
              <w:t> </w:t>
            </w:r>
          </w:p>
        </w:tc>
        <w:tc>
          <w:tcPr>
            <w:tcW w:w="1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75" w:type="dxa"/>
            <w:tcBorders/>
            <w:shd w:fill="CCEEFF" w:val="clear"/>
            <w:vAlign w:val="center"/>
          </w:tcPr>
          <w:p>
            <w:pPr>
              <w:pStyle w:val="TableContents"/>
              <w:bidi w:val="0"/>
              <w:spacing w:before="0" w:after="283"/>
              <w:jc w:val="left"/>
            </w:pPr>
            <w:r>
              <w:t> </w:t>
            </w:r>
          </w:p>
        </w:tc>
        <w:tc>
          <w:tcPr>
            <w:tcW w:w="185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98" w:type="dxa"/>
            <w:tcBorders/>
            <w:shd w:fill="CCEEFF" w:val="clear"/>
            <w:vAlign w:val="center"/>
          </w:tcPr>
          <w:p>
            <w:pPr>
              <w:pStyle w:val="TableContents"/>
              <w:bidi w:val="0"/>
              <w:spacing w:before="0" w:after="283"/>
              <w:jc w:val="left"/>
            </w:pPr>
            <w:r>
              <w:t> </w:t>
            </w:r>
          </w:p>
        </w:tc>
        <w:tc>
          <w:tcPr>
            <w:tcW w:w="1889"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r>
      <w:tr>
        <w:tc>
          <w:tcPr>
            <w:tcW w:w="16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3"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12,808</w:t>
            </w:r>
          </w:p>
        </w:tc>
        <w:tc>
          <w:tcPr>
            <w:tcW w:w="64" w:type="dxa"/>
            <w:tcBorders/>
            <w:shd w:fill="FFFFFF" w:val="clear"/>
            <w:vAlign w:val="center"/>
          </w:tcPr>
          <w:p>
            <w:pPr>
              <w:pStyle w:val="TableContents"/>
              <w:bidi w:val="0"/>
              <w:spacing w:before="0" w:after="283"/>
              <w:jc w:val="left"/>
            </w:pPr>
            <w:r>
              <w:t> </w:t>
            </w:r>
          </w:p>
        </w:tc>
      </w:tr>
      <w:tr>
        <w:tc>
          <w:tcPr>
            <w:tcW w:w="1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0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jc w:val="left"/>
            </w:pPr>
            <w:r>
              <w:t> </w:t>
            </w:r>
          </w:p>
        </w:tc>
        <w:tc>
          <w:tcPr>
            <w:tcW w:w="179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75" w:type="dxa"/>
            <w:tcBorders/>
            <w:shd w:fill="CCEEFF" w:val="clear"/>
            <w:vAlign w:val="center"/>
          </w:tcPr>
          <w:p>
            <w:pPr>
              <w:pStyle w:val="TableContents"/>
              <w:bidi w:val="0"/>
              <w:spacing w:before="0" w:after="283"/>
              <w:jc w:val="left"/>
            </w:pPr>
            <w:r>
              <w:t> </w:t>
            </w:r>
          </w:p>
        </w:tc>
        <w:tc>
          <w:tcPr>
            <w:tcW w:w="185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98" w:type="dxa"/>
            <w:tcBorders/>
            <w:shd w:fill="CCEEFF" w:val="clear"/>
            <w:vAlign w:val="center"/>
          </w:tcPr>
          <w:p>
            <w:pPr>
              <w:pStyle w:val="TableContents"/>
              <w:bidi w:val="0"/>
              <w:spacing w:before="0" w:after="283"/>
              <w:jc w:val="left"/>
            </w:pPr>
            <w:r>
              <w:t> </w:t>
            </w:r>
          </w:p>
        </w:tc>
        <w:tc>
          <w:tcPr>
            <w:tcW w:w="1889"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r>
      <w:tr>
        <w:tc>
          <w:tcPr>
            <w:tcW w:w="16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2"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3"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26,721</w:t>
            </w:r>
          </w:p>
        </w:tc>
        <w:tc>
          <w:tcPr>
            <w:tcW w:w="64"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reflects the activity for the Company's contingent consideration derivative liability measured at fair value on a recurring basis (in thousands): </w:t>
      </w:r>
    </w:p>
    <w:p>
      <w:pPr>
        <w:pStyle w:val="TextBody"/>
        <w:bidi w:val="0"/>
        <w:spacing w:before="0" w:after="0"/>
        <w:ind w:left="0" w:right="0" w:hanging="0"/>
        <w:jc w:val="left"/>
      </w:pPr>
      <w:r>
        <w:t> </w:t>
      </w:r>
    </w:p>
    <w:tbl>
      <w:tblPr>
        <w:tblW w:w="7169" w:type="dxa"/>
        <w:jc w:val="left"/>
        <w:tblInd w:w="0" w:type="dxa"/>
        <w:tblLayout w:type="fixed"/>
        <w:tblCellMar>
          <w:top w:w="0" w:type="dxa"/>
          <w:left w:w="0" w:type="dxa"/>
          <w:bottom w:w="0" w:type="dxa"/>
          <w:right w:w="0" w:type="dxa"/>
        </w:tblCellMar>
      </w:tblPr>
      <w:tblGrid>
        <w:gridCol w:w="3005"/>
        <w:gridCol w:w="60"/>
        <w:gridCol w:w="701"/>
        <w:gridCol w:w="3323"/>
        <w:gridCol w:w="80"/>
      </w:tblGrid>
      <w:tr>
        <w:tc>
          <w:tcPr>
            <w:tcW w:w="30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Comtrafo Acquisition Contingent Consideration</w:t>
            </w:r>
          </w:p>
        </w:tc>
        <w:tc>
          <w:tcPr>
            <w:tcW w:w="80" w:type="dxa"/>
            <w:tcBorders/>
            <w:shd w:fill="FFFFFF" w:val="clear"/>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23"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contingent consideration</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33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34,815</w:t>
            </w:r>
          </w:p>
        </w:tc>
        <w:tc>
          <w:tcPr>
            <w:tcW w:w="80" w:type="dxa"/>
            <w:tcBorders/>
            <w:shd w:fill="FFFFFF" w:val="clear"/>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shd w:fill="CCEEFF" w:val="clear"/>
            <w:vAlign w:val="center"/>
          </w:tcPr>
          <w:p>
            <w:pPr>
              <w:pStyle w:val="TableContents"/>
              <w:bidi w:val="0"/>
              <w:spacing w:before="0" w:after="0"/>
              <w:ind w:left="0" w:right="0" w:hanging="0"/>
              <w:jc w:val="left"/>
            </w:pPr>
            <w:r>
              <w:t> </w:t>
            </w:r>
          </w:p>
        </w:tc>
        <w:tc>
          <w:tcPr>
            <w:tcW w:w="332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4,171</w:t>
            </w:r>
          </w:p>
        </w:tc>
        <w:tc>
          <w:tcPr>
            <w:tcW w:w="80"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FX Impact</w:t>
            </w:r>
          </w:p>
        </w:tc>
        <w:tc>
          <w:tcPr>
            <w:tcW w:w="60" w:type="dxa"/>
            <w:tcBorders/>
            <w:shd w:fill="FFFFFF" w:val="clear"/>
            <w:vAlign w:val="center"/>
          </w:tcPr>
          <w:p>
            <w:pPr>
              <w:pStyle w:val="TableContents"/>
              <w:bidi w:val="0"/>
              <w:spacing w:before="0" w:after="283"/>
              <w:ind w:left="0" w:right="0" w:hanging="0"/>
              <w:jc w:val="left"/>
            </w:pPr>
            <w:r>
              <w:t> </w:t>
            </w:r>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33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543</w:t>
            </w:r>
          </w:p>
        </w:tc>
        <w:tc>
          <w:tcPr>
            <w:tcW w:w="80" w:type="dxa"/>
            <w:tcBorders/>
            <w:shd w:fill="FFFFFF" w:val="clear"/>
            <w:vAlign w:val="center"/>
          </w:tcPr>
          <w:p>
            <w:pPr>
              <w:pStyle w:val="TableContents"/>
              <w:bidi w:val="0"/>
              <w:spacing w:before="0" w:after="283"/>
              <w:jc w:val="left"/>
            </w:pPr>
            <w:r>
              <w:t> </w:t>
            </w:r>
          </w:p>
        </w:tc>
      </w:tr>
      <w:t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39,529</w:t>
            </w:r>
          </w:p>
        </w:tc>
        <w:tc>
          <w:tcPr>
            <w:tcW w:w="80"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jc w:val="left"/>
            </w:pPr>
            <w:r>
              <w:t> </w:t>
            </w:r>
          </w:p>
        </w:tc>
        <w:tc>
          <w:tcPr>
            <w:tcW w:w="33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FX Impact</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332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pPr>
            <w:r>
              <w:t> </w:t>
            </w:r>
          </w:p>
        </w:tc>
      </w:tr>
      <w:t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2026</w:t>
            </w:r>
          </w:p>
        </w:tc>
        <w:tc>
          <w:tcPr>
            <w:tcW w:w="60" w:type="dxa"/>
            <w:tcBorders/>
            <w:shd w:fill="FFFFFF" w:val="clear"/>
            <w:vAlign w:val="center"/>
          </w:tcPr>
          <w:p>
            <w:pPr>
              <w:pStyle w:val="TableContents"/>
              <w:bidi w:val="0"/>
              <w:spacing w:before="0" w:after="283"/>
              <w:ind w:left="0" w:right="0" w:hanging="0"/>
              <w:jc w:val="left"/>
            </w:pPr>
            <w: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30,485</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8.</w:t>
      </w:r>
      <w:r>
        <w:rPr>
          <w:rFonts w:ascii="Times New Roman;Times;serif" w:hAnsi="Times New Roman;Times;serif"/>
          <w:b/>
          <w:sz w:val="20"/>
        </w:rPr>
        <w:t xml:space="preserve"> Accounts Receivable</w:t>
      </w:r>
    </w:p>
    <w:p>
      <w:pPr>
        <w:pStyle w:val="TextBody"/>
        <w:bidi w:val="0"/>
        <w:spacing w:before="0" w:after="0"/>
        <w:ind w:left="0" w:right="0" w:firstLine="555"/>
        <w:jc w:val="both"/>
      </w:pPr>
      <w:r>
        <w:t> </w:t>
      </w:r>
    </w:p>
    <w:p>
      <w:pPr>
        <w:pStyle w:val="TextBody"/>
        <w:bidi w:val="0"/>
        <w:spacing w:before="0" w:after="0"/>
        <w:ind w:left="0" w:right="0" w:firstLine="720"/>
        <w:jc w:val="both"/>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pPr>
      <w:r>
        <w:t> </w:t>
      </w:r>
    </w:p>
    <w:tbl>
      <w:tblPr>
        <w:tblW w:w="5758" w:type="dxa"/>
        <w:jc w:val="left"/>
        <w:tblInd w:w="0" w:type="dxa"/>
        <w:tblLayout w:type="fixed"/>
        <w:tblCellMar>
          <w:top w:w="0" w:type="dxa"/>
          <w:left w:w="0" w:type="dxa"/>
          <w:bottom w:w="0" w:type="dxa"/>
          <w:right w:w="0" w:type="dxa"/>
        </w:tblCellMar>
      </w:tblPr>
      <w:tblGrid>
        <w:gridCol w:w="2525"/>
        <w:gridCol w:w="60"/>
        <w:gridCol w:w="288"/>
        <w:gridCol w:w="1366"/>
        <w:gridCol w:w="60"/>
        <w:gridCol w:w="60"/>
        <w:gridCol w:w="234"/>
        <w:gridCol w:w="1105"/>
        <w:gridCol w:w="60"/>
      </w:tblGrid>
      <w:tr>
        <w:tc>
          <w:tcPr>
            <w:tcW w:w="25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pPr>
            <w:r>
              <w:rPr>
                <w:rStyle w:val="Emphasis"/>
                <w:rFonts w:ascii="Times New Roman;Times;serif" w:hAnsi="Times New Roman;Times;serif"/>
                <w:b/>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pPr>
            <w:r>
              <w:rPr>
                <w:rStyle w:val="Emphasis"/>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pPr>
            <w:r>
              <w:t> </w:t>
            </w:r>
          </w:p>
        </w:tc>
      </w:tr>
      <w:t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54,506</w:t>
            </w:r>
          </w:p>
        </w:tc>
        <w:tc>
          <w:tcPr>
            <w:tcW w:w="60" w:type="dxa"/>
            <w:tcBorders/>
            <w:shd w:fill="CCEEFF" w:val="clear"/>
            <w:vAlign w:val="center"/>
          </w:tcPr>
          <w:p>
            <w:pPr>
              <w:pStyle w:val="TableContents"/>
              <w:bidi w:val="0"/>
              <w:spacing w:before="0" w:after="283"/>
              <w:jc w:val="left"/>
            </w:pPr>
            <w:r>
              <w:t> </w:t>
            </w:r>
          </w:p>
        </w:tc>
      </w:tr>
      <w:t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14,875</w:t>
            </w:r>
          </w:p>
        </w:tc>
        <w:tc>
          <w:tcPr>
            <w:tcW w:w="60" w:type="dxa"/>
            <w:tcBorders/>
            <w:shd w:fill="FFFFFF" w:val="clear"/>
            <w:vAlign w:val="center"/>
          </w:tcPr>
          <w:p>
            <w:pPr>
              <w:pStyle w:val="TableContents"/>
              <w:bidi w:val="0"/>
              <w:spacing w:before="0" w:after="283"/>
              <w:jc w:val="left"/>
            </w:pPr>
            <w:r>
              <w:t> </w:t>
            </w:r>
          </w:p>
        </w:tc>
      </w:tr>
      <w:t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66,354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69,381</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9.</w:t>
      </w:r>
      <w:r>
        <w:rPr>
          <w:rFonts w:ascii="Times New Roman;Times;serif" w:hAnsi="Times New Roman;Times;serif"/>
          <w:b/>
          <w:sz w:val="20"/>
        </w:rPr>
        <w:t xml:space="preserve"> Inventory</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pPr>
      <w:r>
        <w:t> </w:t>
      </w:r>
    </w:p>
    <w:tbl>
      <w:tblPr>
        <w:tblW w:w="5113" w:type="dxa"/>
        <w:jc w:val="left"/>
        <w:tblInd w:w="0" w:type="dxa"/>
        <w:tblLayout w:type="fixed"/>
        <w:tblCellMar>
          <w:top w:w="0" w:type="dxa"/>
          <w:left w:w="0" w:type="dxa"/>
          <w:bottom w:w="0" w:type="dxa"/>
          <w:right w:w="0" w:type="dxa"/>
        </w:tblCellMar>
      </w:tblPr>
      <w:tblGrid>
        <w:gridCol w:w="1880"/>
        <w:gridCol w:w="60"/>
        <w:gridCol w:w="288"/>
        <w:gridCol w:w="1366"/>
        <w:gridCol w:w="60"/>
        <w:gridCol w:w="60"/>
        <w:gridCol w:w="204"/>
        <w:gridCol w:w="1135"/>
        <w:gridCol w:w="60"/>
      </w:tblGrid>
      <w:tr>
        <w:tc>
          <w:tcPr>
            <w:tcW w:w="18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pPr>
            <w:r>
              <w:t> </w:t>
            </w:r>
          </w:p>
        </w:tc>
      </w:tr>
      <w:t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57,811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54,247</w:t>
            </w:r>
          </w:p>
        </w:tc>
        <w:tc>
          <w:tcPr>
            <w:tcW w:w="60" w:type="dxa"/>
            <w:tcBorders/>
            <w:shd w:fill="CCEEFF" w:val="clear"/>
            <w:vAlign w:val="center"/>
          </w:tcPr>
          <w:p>
            <w:pPr>
              <w:pStyle w:val="TableContents"/>
              <w:bidi w:val="0"/>
              <w:spacing w:before="0" w:after="283"/>
              <w:jc w:val="left"/>
            </w:pPr>
            <w:r>
              <w:t> </w:t>
            </w:r>
          </w:p>
        </w:tc>
      </w:tr>
      <w:t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17,971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26,873</w:t>
            </w:r>
          </w:p>
        </w:tc>
        <w:tc>
          <w:tcPr>
            <w:tcW w:w="60" w:type="dxa"/>
            <w:tcBorders/>
            <w:shd w:fill="FFFFFF" w:val="clear"/>
            <w:vAlign w:val="center"/>
          </w:tcPr>
          <w:p>
            <w:pPr>
              <w:pStyle w:val="TableContents"/>
              <w:bidi w:val="0"/>
              <w:spacing w:before="0" w:after="283"/>
              <w:jc w:val="left"/>
            </w:pPr>
            <w:r>
              <w:t> </w:t>
            </w:r>
          </w:p>
        </w:tc>
      </w:tr>
      <w:t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pPr>
            <w: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15,049</w:t>
            </w:r>
          </w:p>
        </w:tc>
        <w:tc>
          <w:tcPr>
            <w:tcW w:w="60" w:type="dxa"/>
            <w:tcBorders/>
            <w:shd w:fill="CCEEFF" w:val="clear"/>
            <w:vAlign w:val="center"/>
          </w:tcPr>
          <w:p>
            <w:pPr>
              <w:pStyle w:val="TableContents"/>
              <w:bidi w:val="0"/>
              <w:spacing w:before="0" w:after="283"/>
              <w:ind w:left="0" w:right="0" w:hanging="0"/>
              <w:jc w:val="left"/>
            </w:pPr>
            <w:r>
              <w:t> </w:t>
            </w:r>
          </w:p>
        </w:tc>
      </w:tr>
      <w:t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0"/>
              <w:ind w:left="0" w:right="0" w:hanging="0"/>
              <w:jc w:val="left"/>
            </w:pPr>
            <w: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4,377</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7,579</w:t>
            </w:r>
          </w:p>
        </w:tc>
        <w:tc>
          <w:tcPr>
            <w:tcW w:w="60" w:type="dxa"/>
            <w:tcBorders/>
            <w:shd w:fill="FFFFFF" w:val="clear"/>
            <w:vAlign w:val="center"/>
          </w:tcPr>
          <w:p>
            <w:pPr>
              <w:pStyle w:val="TableContents"/>
              <w:bidi w:val="0"/>
              <w:spacing w:before="0" w:after="0"/>
              <w:jc w:val="left"/>
            </w:pPr>
            <w:r>
              <w:t> </w:t>
            </w:r>
          </w:p>
        </w:tc>
      </w:tr>
      <w:t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98,184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103,748</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 recorded inventory write-downs of $1.2 million and $1.1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respectively. The Company recorded inventory write-downs of $2.3 million and $1.8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These write-downs were based on the Company's evaluation of its inventory on hand for excess quantities and obsolescence. </w:t>
      </w:r>
    </w:p>
    <w:p>
      <w:pPr>
        <w:pStyle w:val="TextBody"/>
        <w:bidi w:val="0"/>
        <w:spacing w:before="0" w:after="0"/>
        <w:ind w:left="0" w:right="0" w:firstLine="555"/>
        <w:jc w:val="both"/>
      </w:pPr>
      <w:r>
        <w:t> </w:t>
      </w:r>
    </w:p>
    <w:p>
      <w:pPr>
        <w:pStyle w:val="TextBody"/>
        <w:bidi w:val="0"/>
        <w:spacing w:before="0" w:after="0"/>
        <w:ind w:left="0" w:right="0" w:firstLine="720"/>
        <w:jc w:val="both"/>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hanging="0"/>
        <w:jc w:val="both"/>
      </w:pPr>
      <w:r>
        <w:t> </w:t>
      </w:r>
    </w:p>
    <w:p>
      <w:pPr>
        <w:pStyle w:val="TextBody"/>
        <w:bidi w:val="0"/>
        <w:spacing w:before="0" w:after="0"/>
        <w:jc w:val="cente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are as follows (in thousands):</w:t>
      </w:r>
    </w:p>
    <w:p>
      <w:pPr>
        <w:pStyle w:val="TextBody"/>
        <w:bidi w:val="0"/>
        <w:spacing w:before="0" w:after="0"/>
        <w:ind w:left="0" w:right="0" w:hanging="0"/>
        <w:jc w:val="left"/>
      </w:pPr>
      <w:r>
        <w:t> </w:t>
      </w:r>
    </w:p>
    <w:tbl>
      <w:tblPr>
        <w:tblW w:w="6353" w:type="dxa"/>
        <w:jc w:val="left"/>
        <w:tblInd w:w="0" w:type="dxa"/>
        <w:tblLayout w:type="fixed"/>
        <w:tblCellMar>
          <w:top w:w="0" w:type="dxa"/>
          <w:left w:w="0" w:type="dxa"/>
          <w:bottom w:w="0" w:type="dxa"/>
          <w:right w:w="0" w:type="dxa"/>
        </w:tblCellMar>
      </w:tblPr>
      <w:tblGrid>
        <w:gridCol w:w="3080"/>
        <w:gridCol w:w="60"/>
        <w:gridCol w:w="251"/>
        <w:gridCol w:w="1403"/>
        <w:gridCol w:w="80"/>
        <w:gridCol w:w="60"/>
        <w:gridCol w:w="204"/>
        <w:gridCol w:w="1135"/>
        <w:gridCol w:w="80"/>
      </w:tblGrid>
      <w:tr>
        <w:tc>
          <w:tcPr>
            <w:tcW w:w="30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September 30, 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pPr>
            <w:r>
              <w:t> </w:t>
            </w:r>
          </w:p>
        </w:tc>
        <w:tc>
          <w:tcPr>
            <w:tcW w:w="2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41,545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37,770</w:t>
            </w:r>
          </w:p>
        </w:tc>
        <w:tc>
          <w:tcPr>
            <w:tcW w:w="8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pPr>
            <w:r>
              <w:t> </w:t>
            </w:r>
          </w:p>
        </w:tc>
        <w:tc>
          <w:tcPr>
            <w:tcW w:w="251" w:type="dxa"/>
            <w:tcBorders/>
            <w:shd w:fill="FFFFFF" w:val="clear"/>
            <w:vAlign w:val="center"/>
          </w:tcPr>
          <w:p>
            <w:pPr>
              <w:pStyle w:val="TableContents"/>
              <w:bidi w:val="0"/>
              <w:spacing w:before="0" w:after="283"/>
              <w:jc w:val="left"/>
            </w:pPr>
            <w:r>
              <w:t> </w:t>
            </w:r>
          </w:p>
        </w:tc>
        <w:tc>
          <w:tcPr>
            <w:tcW w:w="14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4,413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1,482</w:t>
            </w:r>
          </w:p>
        </w:tc>
        <w:tc>
          <w:tcPr>
            <w:tcW w:w="8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pPr>
            <w:r>
              <w:t> </w:t>
            </w:r>
          </w:p>
        </w:tc>
        <w:tc>
          <w:tcPr>
            <w:tcW w:w="251" w:type="dxa"/>
            <w:tcBorders/>
            <w:shd w:fill="CCEEFF" w:val="clear"/>
            <w:vAlign w:val="center"/>
          </w:tcPr>
          <w:p>
            <w:pPr>
              <w:pStyle w:val="TableContents"/>
              <w:bidi w:val="0"/>
              <w:spacing w:before="0" w:after="283"/>
              <w:jc w:val="left"/>
            </w:pPr>
            <w:r>
              <w:t> </w:t>
            </w:r>
          </w:p>
        </w:tc>
        <w:tc>
          <w:tcPr>
            <w:tcW w:w="14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35,151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30,989</w:t>
            </w:r>
          </w:p>
        </w:tc>
        <w:tc>
          <w:tcPr>
            <w:tcW w:w="80" w:type="dxa"/>
            <w:tcBorders/>
            <w:shd w:fill="CCEEFF" w:val="clear"/>
            <w:vAlign w:val="center"/>
          </w:tcPr>
          <w:p>
            <w:pPr>
              <w:pStyle w:val="TableContents"/>
              <w:bidi w:val="0"/>
              <w:spacing w:before="0" w:after="283"/>
              <w:jc w:val="left"/>
            </w:pPr>
            <w:r>
              <w:t> </w:t>
            </w:r>
          </w:p>
        </w:tc>
      </w:tr>
      <w:t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pPr>
            <w:r>
              <w:t> </w:t>
            </w:r>
          </w:p>
        </w:tc>
        <w:tc>
          <w:tcPr>
            <w:tcW w:w="251" w:type="dxa"/>
            <w:tcBorders/>
            <w:shd w:fill="FFFFFF" w:val="clear"/>
            <w:vAlign w:val="center"/>
          </w:tcPr>
          <w:p>
            <w:pPr>
              <w:pStyle w:val="TableContents"/>
              <w:bidi w:val="0"/>
              <w:spacing w:before="0" w:after="283"/>
              <w:jc w:val="left"/>
            </w:pPr>
            <w:r>
              <w:t> </w:t>
            </w:r>
          </w:p>
        </w:tc>
        <w:tc>
          <w:tcPr>
            <w:tcW w:w="14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63,419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60,030</w:t>
            </w:r>
          </w:p>
        </w:tc>
        <w:tc>
          <w:tcPr>
            <w:tcW w:w="80" w:type="dxa"/>
            <w:tcBorders/>
            <w:shd w:fill="FFFFFF" w:val="clear"/>
            <w:vAlign w:val="center"/>
          </w:tcPr>
          <w:p>
            <w:pPr>
              <w:pStyle w:val="TableContents"/>
              <w:bidi w:val="0"/>
              <w:spacing w:before="0" w:after="283"/>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283"/>
              <w:jc w:val="left"/>
            </w:pPr>
            <w:r>
              <w:t> </w:t>
            </w:r>
          </w:p>
        </w:tc>
        <w:tc>
          <w:tcPr>
            <w:tcW w:w="251" w:type="dxa"/>
            <w:tcBorders/>
            <w:shd w:fill="CCEEFF" w:val="clear"/>
            <w:vAlign w:val="center"/>
          </w:tcPr>
          <w:p>
            <w:pPr>
              <w:pStyle w:val="TableContents"/>
              <w:bidi w:val="0"/>
              <w:spacing w:before="0" w:after="283"/>
              <w:jc w:val="left"/>
            </w:pPr>
            <w:r>
              <w:t> </w:t>
            </w:r>
          </w:p>
        </w:tc>
        <w:tc>
          <w:tcPr>
            <w:tcW w:w="14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1,940</w:t>
            </w:r>
          </w:p>
        </w:tc>
        <w:tc>
          <w:tcPr>
            <w:tcW w:w="80" w:type="dxa"/>
            <w:tcBorders/>
            <w:shd w:fill="CCEEFF" w:val="clear"/>
            <w:vAlign w:val="center"/>
          </w:tcPr>
          <w:p>
            <w:pPr>
              <w:pStyle w:val="TableContents"/>
              <w:bidi w:val="0"/>
              <w:spacing w:before="0" w:after="283"/>
              <w:ind w:left="0" w:right="0" w:hanging="0"/>
              <w:jc w:val="left"/>
            </w:pPr>
            <w:r>
              <w:t> </w:t>
            </w:r>
          </w:p>
        </w:tc>
      </w:tr>
      <w:t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FFFFFF" w:val="clear"/>
            <w:vAlign w:val="center"/>
          </w:tcPr>
          <w:p>
            <w:pPr>
              <w:pStyle w:val="TableContents"/>
              <w:bidi w:val="0"/>
              <w:spacing w:before="0" w:after="0"/>
              <w:ind w:left="0" w:right="0" w:hanging="0"/>
              <w:jc w:val="left"/>
            </w:pPr>
            <w: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4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8,296</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8,276</w:t>
            </w:r>
          </w:p>
        </w:tc>
        <w:tc>
          <w:tcPr>
            <w:tcW w:w="80" w:type="dxa"/>
            <w:tcBorders/>
            <w:shd w:fill="FFFFFF" w:val="clear"/>
            <w:vAlign w:val="center"/>
          </w:tcPr>
          <w:p>
            <w:pPr>
              <w:pStyle w:val="TableContents"/>
              <w:bidi w:val="0"/>
              <w:spacing w:before="0" w:after="0"/>
              <w:jc w:val="left"/>
            </w:pPr>
            <w:r>
              <w:t> </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plant and equipment, gross</w:t>
            </w:r>
          </w:p>
        </w:tc>
        <w:tc>
          <w:tcPr>
            <w:tcW w:w="60" w:type="dxa"/>
            <w:tcBorders/>
            <w:shd w:fill="CCEEFF" w:val="clear"/>
            <w:vAlign w:val="center"/>
          </w:tcPr>
          <w:p>
            <w:pPr>
              <w:pStyle w:val="TableContents"/>
              <w:bidi w:val="0"/>
              <w:spacing w:before="0" w:after="283"/>
              <w:ind w:left="0" w:right="0" w:hanging="0"/>
              <w:jc w:val="left"/>
            </w:pPr>
            <w:r>
              <w:t> </w:t>
            </w:r>
          </w:p>
        </w:tc>
        <w:tc>
          <w:tcPr>
            <w:tcW w:w="251" w:type="dxa"/>
            <w:tcBorders/>
            <w:shd w:fill="CCEEFF" w:val="clear"/>
            <w:vAlign w:val="center"/>
          </w:tcPr>
          <w:p>
            <w:pPr>
              <w:pStyle w:val="TableContents"/>
              <w:bidi w:val="0"/>
              <w:spacing w:before="0" w:after="0"/>
              <w:ind w:left="0" w:right="0" w:hanging="0"/>
              <w:jc w:val="left"/>
            </w:pPr>
            <w:r>
              <w:t> </w:t>
            </w:r>
          </w:p>
        </w:tc>
        <w:tc>
          <w:tcPr>
            <w:tcW w:w="14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154,770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0"/>
              <w:ind w:left="0" w:right="0" w:hanging="0"/>
              <w:jc w:val="left"/>
            </w:pPr>
            <w: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140,487</w:t>
            </w:r>
          </w:p>
        </w:tc>
        <w:tc>
          <w:tcPr>
            <w:tcW w:w="80" w:type="dxa"/>
            <w:tcBorders/>
            <w:shd w:fill="CCEEFF" w:val="clear"/>
            <w:vAlign w:val="center"/>
          </w:tcPr>
          <w:p>
            <w:pPr>
              <w:pStyle w:val="TableContents"/>
              <w:bidi w:val="0"/>
              <w:spacing w:before="0" w:after="283"/>
              <w:ind w:left="0" w:right="0" w:hanging="0"/>
              <w:jc w:val="left"/>
            </w:pPr>
            <w:r>
              <w:t> </w:t>
            </w:r>
          </w:p>
        </w:tc>
      </w:tr>
      <w:t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0"/>
              <w:ind w:left="0" w:right="0" w:hanging="0"/>
              <w:jc w:val="left"/>
            </w:pPr>
            <w: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4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(53,901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(50,712</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pPr>
            <w: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89,775</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540"/>
        <w:jc w:val="both"/>
      </w:pPr>
      <w:r>
        <w:t> </w:t>
      </w:r>
    </w:p>
    <w:p>
      <w:pPr>
        <w:pStyle w:val="TextBody"/>
        <w:bidi w:val="0"/>
        <w:spacing w:before="0" w:after="0"/>
        <w:ind w:left="0" w:right="0" w:firstLine="720"/>
        <w:jc w:val="both"/>
      </w:pPr>
      <w:r>
        <w:rPr>
          <w:rFonts w:ascii="Times New Roman;Times;serif" w:hAnsi="Times New Roman;Times;serif"/>
          <w:sz w:val="20"/>
        </w:rPr>
        <w:t xml:space="preserve">Depreciation expense was $1.6 million and $0.9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respectively. Depreciation expense was $3.3 million and $1.8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w:t>
      </w:r>
    </w:p>
    <w:p>
      <w:pPr>
        <w:pStyle w:val="TextBody"/>
        <w:bidi w:val="0"/>
        <w:spacing w:before="0" w:after="0"/>
        <w:ind w:left="0" w:right="0" w:firstLine="720"/>
        <w:jc w:val="both"/>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11.</w:t>
      </w:r>
      <w:r>
        <w:rPr>
          <w:rFonts w:ascii="Times New Roman;Times;serif" w:hAnsi="Times New Roman;Times;serif"/>
          <w:b/>
          <w:sz w:val="20"/>
        </w:rPr>
        <w:t xml:space="preserve"> Equity-Method Investments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NWL Pacific Inc. Co., LTD</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 has a 50% ownership in NWL Pacific Inc. Co., LTD ("NWL Pacific"). The investment represents the Company's interest in NWL Pacific. The investment is a joint venture in South Korea established on </w:t>
      </w:r>
      <w:r>
        <w:rPr>
          <w:rStyle w:val="Emphasis"/>
          <w:rFonts w:ascii="Times New Roman;Times;serif" w:hAnsi="Times New Roman;Times;serif"/>
          <w:sz w:val="20"/>
        </w:rPr>
        <w:t>May 12, 1998.</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The Company treats the equity investment in the condensed consolidated financial statements under the equity method. Equity method investments are equity securities in entities the Company does </w:t>
      </w:r>
      <w:r>
        <w:rPr>
          <w:rStyle w:val="Emphasis"/>
          <w:rFonts w:ascii="Times New Roman;Times;serif" w:hAnsi="Times New Roman;Times;serif"/>
          <w:sz w:val="20"/>
        </w:rPr>
        <w:t>not</w:t>
      </w:r>
      <w:r>
        <w:rPr>
          <w:rFonts w:ascii="Times New Roman;Times;serif" w:hAnsi="Times New Roman;Times;serif"/>
          <w:sz w:val="20"/>
        </w:rPr>
        <w:t xml:space="preserve"> control but over which it has the ability to exercise significant influence. These investments are accounted for under the equity method of accounting in accordance with ASC </w:t>
      </w:r>
      <w:r>
        <w:rPr>
          <w:rStyle w:val="Emphasis"/>
          <w:rFonts w:ascii="Times New Roman;Times;serif" w:hAnsi="Times New Roman;Times;serif"/>
          <w:sz w:val="20"/>
        </w:rPr>
        <w:t>323,</w:t>
      </w:r>
      <w:r>
        <w:rPr>
          <w:rFonts w:ascii="Times New Roman;Times;serif" w:hAnsi="Times New Roman;Times;serif"/>
          <w:sz w:val="20"/>
        </w:rPr>
        <w:t>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As of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the Compa</w:t>
      </w:r>
      <w:r>
        <w:rPr>
          <w:rFonts w:ascii="Times New Roman;Times;serif" w:hAnsi="Times New Roman;Times;serif"/>
          <w:sz w:val="20"/>
          <w:shd w:fill="FFFFFF" w:val="clear"/>
        </w:rPr>
        <w:t xml:space="preserve">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material accounts receivable nor accounts payable balances wi</w:t>
      </w:r>
      <w:r>
        <w:rPr>
          <w:rFonts w:ascii="Times New Roman;Times;serif" w:hAnsi="Times New Roman;Times;serif"/>
          <w:sz w:val="20"/>
        </w:rPr>
        <w:t>th NWL Pacific. The Company's investment in NWL Pacific was $1.4 million and $1.3 million as of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March 31, 2026, </w:t>
      </w:r>
      <w:r>
        <w:rPr>
          <w:rFonts w:ascii="Times New Roman;Times;serif" w:hAnsi="Times New Roman;Times;serif"/>
          <w:sz w:val="20"/>
        </w:rPr>
        <w:t>respectively.</w:t>
      </w:r>
    </w:p>
    <w:p>
      <w:pPr>
        <w:pStyle w:val="TextBody"/>
        <w:bidi w:val="0"/>
        <w:spacing w:before="0" w:after="0"/>
        <w:ind w:left="0" w:right="0" w:firstLine="720"/>
        <w:jc w:val="both"/>
      </w:pPr>
      <w: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presents the summarized financial information for periods presented post-acquisition, as provided to the Company by the investee, for the unconsolidated company (in thousands):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160" w:right="0" w:hanging="180"/>
        <w:jc w:val="left"/>
        <w:rPr>
          <w:caps w:val="false"/>
          <w:smallCaps w:val="false"/>
        </w:rPr>
      </w:pPr>
      <w:r>
        <w:rPr>
          <w:caps w:val="false"/>
          <w:smallCaps w:val="false"/>
        </w:rPr>
        <w:t>   </w:t>
      </w:r>
    </w:p>
    <w:tbl>
      <w:tblPr>
        <w:tblW w:w="7837" w:type="dxa"/>
        <w:jc w:val="left"/>
        <w:tblInd w:w="0" w:type="dxa"/>
        <w:tblLayout w:type="fixed"/>
        <w:tblCellMar>
          <w:top w:w="0" w:type="dxa"/>
          <w:left w:w="0" w:type="dxa"/>
          <w:bottom w:w="0" w:type="dxa"/>
          <w:right w:w="0" w:type="dxa"/>
        </w:tblCellMar>
      </w:tblPr>
      <w:tblGrid>
        <w:gridCol w:w="1865"/>
        <w:gridCol w:w="60"/>
        <w:gridCol w:w="277"/>
        <w:gridCol w:w="1076"/>
        <w:gridCol w:w="133"/>
        <w:gridCol w:w="133"/>
        <w:gridCol w:w="277"/>
        <w:gridCol w:w="1076"/>
        <w:gridCol w:w="60"/>
        <w:gridCol w:w="60"/>
        <w:gridCol w:w="257"/>
        <w:gridCol w:w="1000"/>
        <w:gridCol w:w="123"/>
        <w:gridCol w:w="123"/>
        <w:gridCol w:w="257"/>
        <w:gridCol w:w="1000"/>
        <w:gridCol w:w="60"/>
      </w:tblGrid>
      <w:tr>
        <w:tc>
          <w:tcPr>
            <w:tcW w:w="18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18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3,686</w:t>
            </w:r>
          </w:p>
        </w:tc>
        <w:tc>
          <w:tcPr>
            <w:tcW w:w="60" w:type="dxa"/>
            <w:tcBorders/>
            <w:shd w:fill="CCEEFF" w:val="clear"/>
            <w:vAlign w:val="center"/>
          </w:tcPr>
          <w:p>
            <w:pPr>
              <w:pStyle w:val="TableContents"/>
              <w:bidi w:val="0"/>
              <w:spacing w:before="0" w:after="283"/>
              <w:jc w:val="left"/>
            </w:pPr>
            <w:r>
              <w:t> </w:t>
            </w:r>
          </w:p>
        </w:tc>
      </w:tr>
      <w:t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7" w:type="dxa"/>
            <w:tcBorders/>
            <w:shd w:fill="FFFFFF" w:val="clear"/>
            <w:vAlign w:val="center"/>
          </w:tcPr>
          <w:p>
            <w:pPr>
              <w:pStyle w:val="TableContents"/>
              <w:bidi w:val="0"/>
              <w:spacing w:before="0" w:after="283"/>
              <w:ind w:left="0" w:right="0" w:hanging="0"/>
              <w:jc w:val="left"/>
            </w:pPr>
            <w: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257" w:type="dxa"/>
            <w:tcBorders/>
            <w:shd w:fill="FFFFFF" w:val="clear"/>
            <w:vAlign w:val="center"/>
          </w:tcPr>
          <w:p>
            <w:pPr>
              <w:pStyle w:val="TableContents"/>
              <w:bidi w:val="0"/>
              <w:spacing w:before="0" w:after="283"/>
              <w:ind w:left="0" w:right="0" w:hanging="0"/>
              <w:jc w:val="left"/>
            </w:pPr>
            <w: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w:t>
            </w:r>
          </w:p>
        </w:tc>
        <w:tc>
          <w:tcPr>
            <w:tcW w:w="60" w:type="dxa"/>
            <w:tcBorders/>
            <w:shd w:fill="FFFFFF" w:val="clear"/>
            <w:vAlign w:val="center"/>
          </w:tcPr>
          <w:p>
            <w:pPr>
              <w:pStyle w:val="TableContents"/>
              <w:bidi w:val="0"/>
              <w:spacing w:before="0" w:after="283"/>
              <w:jc w:val="left"/>
            </w:pPr>
            <w:r>
              <w:t> </w:t>
            </w:r>
          </w:p>
        </w:tc>
      </w:tr>
      <w:t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w:t>
            </w:r>
          </w:p>
        </w:tc>
        <w:tc>
          <w:tcPr>
            <w:tcW w:w="60"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60" w:type="dxa"/>
            <w:tcBorders/>
            <w:shd w:fill="CCEEFF" w:val="clear"/>
            <w:vAlign w:val="center"/>
          </w:tcPr>
          <w:p>
            <w:pPr>
              <w:pStyle w:val="TableContents"/>
              <w:bidi w:val="0"/>
              <w:spacing w:before="0" w:after="283"/>
              <w:jc w:val="left"/>
            </w:pPr>
            <w:r>
              <w:t> </w:t>
            </w:r>
          </w:p>
        </w:tc>
      </w:tr>
      <w:t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12.</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pPr>
      <w:r>
        <w:t> </w:t>
      </w:r>
    </w:p>
    <w:tbl>
      <w:tblPr>
        <w:tblW w:w="6373" w:type="dxa"/>
        <w:jc w:val="left"/>
        <w:tblInd w:w="0" w:type="dxa"/>
        <w:tblLayout w:type="fixed"/>
        <w:tblCellMar>
          <w:top w:w="0" w:type="dxa"/>
          <w:left w:w="0" w:type="dxa"/>
          <w:bottom w:w="0" w:type="dxa"/>
          <w:right w:w="0" w:type="dxa"/>
        </w:tblCellMar>
      </w:tblPr>
      <w:tblGrid>
        <w:gridCol w:w="3140"/>
        <w:gridCol w:w="60"/>
        <w:gridCol w:w="288"/>
        <w:gridCol w:w="1366"/>
        <w:gridCol w:w="60"/>
        <w:gridCol w:w="60"/>
        <w:gridCol w:w="234"/>
        <w:gridCol w:w="1105"/>
        <w:gridCol w:w="60"/>
      </w:tblGrid>
      <w:tr>
        <w:tc>
          <w:tcPr>
            <w:tcW w:w="31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b/>
                <w:sz w:val="20"/>
              </w:rPr>
              <w:t>March 31, 2026</w:t>
            </w:r>
          </w:p>
        </w:tc>
        <w:tc>
          <w:tcPr>
            <w:tcW w:w="60" w:type="dxa"/>
            <w:tcBorders/>
            <w:shd w:fill="FFFFFF" w:val="clear"/>
            <w:vAlign w:val="center"/>
          </w:tcPr>
          <w:p>
            <w:pPr>
              <w:pStyle w:val="TableContents"/>
              <w:bidi w:val="0"/>
              <w:spacing w:before="0" w:after="283"/>
              <w:jc w:val="left"/>
            </w:pPr>
            <w:r>
              <w:t> </w:t>
            </w:r>
          </w:p>
        </w:tc>
      </w:tr>
      <w:t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rPr>
                <w:sz w:val="20"/>
              </w:rPr>
            </w:pPr>
            <w:r>
              <w:rPr>
                <w:sz w:val="20"/>
              </w:rPr>
              <w:t>$</w:t>
            </w:r>
          </w:p>
        </w:tc>
        <w:tc>
          <w:tcPr>
            <w:tcW w:w="1366" w:type="dxa"/>
            <w:tcBorders/>
            <w:shd w:fill="CCEEFF" w:val="clear"/>
            <w:vAlign w:val="center"/>
          </w:tcPr>
          <w:p>
            <w:pPr>
              <w:pStyle w:val="TableContents"/>
              <w:bidi w:val="0"/>
              <w:spacing w:before="0" w:after="283"/>
              <w:jc w:val="right"/>
              <w:rPr>
                <w:sz w:val="20"/>
              </w:rPr>
            </w:pPr>
            <w:r>
              <w:rPr>
                <w:sz w:val="20"/>
              </w:rPr>
              <w:t>11,847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13,015</w:t>
            </w:r>
          </w:p>
        </w:tc>
        <w:tc>
          <w:tcPr>
            <w:tcW w:w="60" w:type="dxa"/>
            <w:tcBorders/>
            <w:shd w:fill="CCEEFF" w:val="clear"/>
            <w:vAlign w:val="center"/>
          </w:tcPr>
          <w:p>
            <w:pPr>
              <w:pStyle w:val="TableContents"/>
              <w:bidi w:val="0"/>
              <w:spacing w:before="0" w:after="283"/>
              <w:jc w:val="left"/>
            </w:pPr>
            <w:r>
              <w:t> </w:t>
            </w:r>
          </w:p>
        </w:tc>
      </w:tr>
      <w:t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sz w:val="20"/>
              </w:rPr>
            </w:pPr>
            <w:r>
              <w:rPr>
                <w:sz w:val="20"/>
              </w:rPr>
              <w:t>2,352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1105" w:type="dxa"/>
            <w:tcBorders/>
            <w:shd w:fill="FFFFFF" w:val="clear"/>
            <w:vAlign w:val="center"/>
          </w:tcPr>
          <w:p>
            <w:pPr>
              <w:pStyle w:val="TableContents"/>
              <w:bidi w:val="0"/>
              <w:spacing w:before="0" w:after="283"/>
              <w:jc w:val="right"/>
              <w:rPr>
                <w:sz w:val="20"/>
              </w:rPr>
            </w:pPr>
            <w:r>
              <w:rPr>
                <w:sz w:val="20"/>
              </w:rPr>
              <w:t>1,104</w:t>
            </w:r>
          </w:p>
        </w:tc>
        <w:tc>
          <w:tcPr>
            <w:tcW w:w="60" w:type="dxa"/>
            <w:tcBorders/>
            <w:shd w:fill="FFFFFF" w:val="clear"/>
            <w:vAlign w:val="center"/>
          </w:tcPr>
          <w:p>
            <w:pPr>
              <w:pStyle w:val="TableContents"/>
              <w:bidi w:val="0"/>
              <w:spacing w:before="0" w:after="283"/>
              <w:jc w:val="left"/>
            </w:pPr>
            <w:r>
              <w:t> </w:t>
            </w:r>
          </w:p>
        </w:tc>
      </w:tr>
      <w:t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pPr>
            <w:r>
              <w:t> </w:t>
            </w:r>
          </w:p>
        </w:tc>
        <w:tc>
          <w:tcPr>
            <w:tcW w:w="1366" w:type="dxa"/>
            <w:tcBorders/>
            <w:shd w:fill="CCEEFF" w:val="clear"/>
            <w:vAlign w:val="center"/>
          </w:tcPr>
          <w:p>
            <w:pPr>
              <w:pStyle w:val="TableContents"/>
              <w:bidi w:val="0"/>
              <w:spacing w:before="0" w:after="283"/>
              <w:jc w:val="right"/>
              <w:rPr>
                <w:sz w:val="20"/>
              </w:rPr>
            </w:pPr>
            <w:r>
              <w:rPr>
                <w:sz w:val="20"/>
              </w:rPr>
              <w:t>6,792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1105" w:type="dxa"/>
            <w:tcBorders/>
            <w:shd w:fill="CCEEFF" w:val="clear"/>
            <w:vAlign w:val="center"/>
          </w:tcPr>
          <w:p>
            <w:pPr>
              <w:pStyle w:val="TableContents"/>
              <w:bidi w:val="0"/>
              <w:spacing w:before="0" w:after="283"/>
              <w:jc w:val="right"/>
              <w:rPr>
                <w:sz w:val="20"/>
              </w:rPr>
            </w:pPr>
            <w:r>
              <w:rPr>
                <w:sz w:val="20"/>
              </w:rPr>
              <w:t>5,769</w:t>
            </w:r>
          </w:p>
        </w:tc>
        <w:tc>
          <w:tcPr>
            <w:tcW w:w="60" w:type="dxa"/>
            <w:tcBorders/>
            <w:shd w:fill="CCEEFF" w:val="clear"/>
            <w:vAlign w:val="center"/>
          </w:tcPr>
          <w:p>
            <w:pPr>
              <w:pStyle w:val="TableContents"/>
              <w:bidi w:val="0"/>
              <w:spacing w:before="0" w:after="283"/>
              <w:jc w:val="left"/>
            </w:pPr>
            <w:r>
              <w:t> </w:t>
            </w:r>
          </w:p>
        </w:tc>
      </w:tr>
      <w:t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sz w:val="20"/>
              </w:rPr>
            </w:pPr>
            <w:r>
              <w:rPr>
                <w:sz w:val="20"/>
              </w:rPr>
              <w:t>2,287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1105" w:type="dxa"/>
            <w:tcBorders/>
            <w:shd w:fill="FFFFFF" w:val="clear"/>
            <w:vAlign w:val="center"/>
          </w:tcPr>
          <w:p>
            <w:pPr>
              <w:pStyle w:val="TableContents"/>
              <w:bidi w:val="0"/>
              <w:spacing w:before="0" w:after="283"/>
              <w:jc w:val="right"/>
              <w:rPr>
                <w:sz w:val="20"/>
              </w:rPr>
            </w:pPr>
            <w:r>
              <w:rPr>
                <w:sz w:val="20"/>
              </w:rPr>
              <w:t>3,491</w:t>
            </w:r>
          </w:p>
        </w:tc>
        <w:tc>
          <w:tcPr>
            <w:tcW w:w="60" w:type="dxa"/>
            <w:tcBorders/>
            <w:shd w:fill="FFFFFF" w:val="clear"/>
            <w:vAlign w:val="center"/>
          </w:tcPr>
          <w:p>
            <w:pPr>
              <w:pStyle w:val="TableContents"/>
              <w:bidi w:val="0"/>
              <w:spacing w:before="0" w:after="283"/>
              <w:jc w:val="left"/>
            </w:pPr>
            <w:r>
              <w:t> </w:t>
            </w:r>
          </w:p>
        </w:tc>
      </w:tr>
      <w:t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pPr>
            <w:r>
              <w:t> </w:t>
            </w:r>
          </w:p>
        </w:tc>
        <w:tc>
          <w:tcPr>
            <w:tcW w:w="1366" w:type="dxa"/>
            <w:tcBorders/>
            <w:shd w:fill="CCEEFF" w:val="clear"/>
            <w:vAlign w:val="center"/>
          </w:tcPr>
          <w:p>
            <w:pPr>
              <w:pStyle w:val="TableContents"/>
              <w:bidi w:val="0"/>
              <w:spacing w:before="0" w:after="283"/>
              <w:jc w:val="right"/>
              <w:rPr>
                <w:sz w:val="20"/>
              </w:rPr>
            </w:pPr>
            <w:r>
              <w:rPr>
                <w:sz w:val="20"/>
              </w:rPr>
              <w:t>12,512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1105" w:type="dxa"/>
            <w:tcBorders/>
            <w:shd w:fill="CCEEFF" w:val="clear"/>
            <w:vAlign w:val="center"/>
          </w:tcPr>
          <w:p>
            <w:pPr>
              <w:pStyle w:val="TableContents"/>
              <w:bidi w:val="0"/>
              <w:spacing w:before="0" w:after="283"/>
              <w:jc w:val="right"/>
              <w:rPr>
                <w:sz w:val="20"/>
              </w:rPr>
            </w:pPr>
            <w:r>
              <w:rPr>
                <w:sz w:val="20"/>
              </w:rPr>
              <w:t>15,518</w:t>
            </w:r>
          </w:p>
        </w:tc>
        <w:tc>
          <w:tcPr>
            <w:tcW w:w="60" w:type="dxa"/>
            <w:tcBorders/>
            <w:shd w:fill="CCEEFF" w:val="clear"/>
            <w:vAlign w:val="center"/>
          </w:tcPr>
          <w:p>
            <w:pPr>
              <w:pStyle w:val="TableContents"/>
              <w:bidi w:val="0"/>
              <w:spacing w:before="0" w:after="283"/>
              <w:jc w:val="left"/>
            </w:pPr>
            <w:r>
              <w:t> </w:t>
            </w:r>
          </w:p>
        </w:tc>
      </w:tr>
      <w:t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sz w:val="20"/>
              </w:rPr>
            </w:pPr>
            <w:r>
              <w:rPr>
                <w:sz w:val="20"/>
              </w:rPr>
              <w:t>957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1105" w:type="dxa"/>
            <w:tcBorders/>
            <w:shd w:fill="FFFFFF" w:val="clear"/>
            <w:vAlign w:val="center"/>
          </w:tcPr>
          <w:p>
            <w:pPr>
              <w:pStyle w:val="TableContents"/>
              <w:bidi w:val="0"/>
              <w:spacing w:before="0" w:after="283"/>
              <w:jc w:val="right"/>
              <w:rPr>
                <w:sz w:val="20"/>
              </w:rPr>
            </w:pPr>
            <w:r>
              <w:rPr>
                <w:sz w:val="20"/>
              </w:rPr>
              <w:t>641</w:t>
            </w:r>
          </w:p>
        </w:tc>
        <w:tc>
          <w:tcPr>
            <w:tcW w:w="60" w:type="dxa"/>
            <w:tcBorders/>
            <w:shd w:fill="FFFFFF" w:val="clear"/>
            <w:vAlign w:val="center"/>
          </w:tcPr>
          <w:p>
            <w:pPr>
              <w:pStyle w:val="TableContents"/>
              <w:bidi w:val="0"/>
              <w:spacing w:before="0" w:after="283"/>
              <w:jc w:val="left"/>
            </w:pPr>
            <w:r>
              <w:t> </w:t>
            </w:r>
          </w:p>
        </w:tc>
      </w:tr>
      <w:t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pPr>
            <w:r>
              <w:t> </w:t>
            </w:r>
          </w:p>
        </w:tc>
        <w:tc>
          <w:tcPr>
            <w:tcW w:w="1366" w:type="dxa"/>
            <w:tcBorders/>
            <w:shd w:fill="CCEEFF" w:val="clear"/>
            <w:vAlign w:val="center"/>
          </w:tcPr>
          <w:p>
            <w:pPr>
              <w:pStyle w:val="TableContents"/>
              <w:bidi w:val="0"/>
              <w:spacing w:before="0" w:after="283"/>
              <w:jc w:val="right"/>
              <w:rPr>
                <w:sz w:val="20"/>
              </w:rPr>
            </w:pPr>
            <w:r>
              <w:rPr>
                <w:sz w:val="20"/>
              </w:rPr>
              <w:t>5,432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1105" w:type="dxa"/>
            <w:tcBorders/>
            <w:shd w:fill="CCEEFF" w:val="clear"/>
            <w:vAlign w:val="center"/>
          </w:tcPr>
          <w:p>
            <w:pPr>
              <w:pStyle w:val="TableContents"/>
              <w:bidi w:val="0"/>
              <w:spacing w:before="0" w:after="283"/>
              <w:jc w:val="right"/>
              <w:rPr>
                <w:sz w:val="20"/>
              </w:rPr>
            </w:pPr>
            <w:r>
              <w:rPr>
                <w:sz w:val="20"/>
              </w:rPr>
              <w:t>4,684</w:t>
            </w:r>
          </w:p>
        </w:tc>
        <w:tc>
          <w:tcPr>
            <w:tcW w:w="60" w:type="dxa"/>
            <w:tcBorders/>
            <w:shd w:fill="CCEEFF" w:val="clear"/>
            <w:vAlign w:val="center"/>
          </w:tcPr>
          <w:p>
            <w:pPr>
              <w:pStyle w:val="TableContents"/>
              <w:bidi w:val="0"/>
              <w:spacing w:before="0" w:after="283"/>
              <w:ind w:left="0" w:right="0" w:hanging="0"/>
              <w:jc w:val="left"/>
            </w:pPr>
            <w:r>
              <w:t> </w:t>
            </w:r>
          </w:p>
        </w:tc>
      </w:tr>
      <w:t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FFFFFF" w:val="clear"/>
            <w:vAlign w:val="center"/>
          </w:tcPr>
          <w:p>
            <w:pPr>
              <w:pStyle w:val="TableContents"/>
              <w:bidi w:val="0"/>
              <w:spacing w:before="0" w:after="0"/>
              <w:ind w:left="0" w:right="0" w:hanging="0"/>
              <w:jc w:val="left"/>
            </w:pPr>
            <w: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2,398</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2,323</w:t>
            </w:r>
          </w:p>
        </w:tc>
        <w:tc>
          <w:tcPr>
            <w:tcW w:w="60" w:type="dxa"/>
            <w:tcBorders/>
            <w:shd w:fill="FFFFFF" w:val="clear"/>
            <w:vAlign w:val="center"/>
          </w:tcPr>
          <w:p>
            <w:pPr>
              <w:pStyle w:val="TableContents"/>
              <w:bidi w:val="0"/>
              <w:spacing w:before="0" w:after="0"/>
              <w:jc w:val="left"/>
            </w:pPr>
            <w:r>
              <w:t> </w:t>
            </w:r>
          </w:p>
        </w:tc>
      </w:tr>
      <w:tr>
        <w:tc>
          <w:tcPr>
            <w:tcW w:w="3140" w:type="dxa"/>
            <w:tcBorders/>
            <w:shd w:fill="CCEE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44,575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46,545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555"/>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pPr>
      <w:r>
        <w:t> </w:t>
      </w:r>
    </w:p>
    <w:p>
      <w:pPr>
        <w:pStyle w:val="TextBody"/>
        <w:bidi w:val="0"/>
        <w:spacing w:before="0" w:after="0"/>
        <w:jc w:val="cente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pPr>
      <w:r>
        <w:t> </w:t>
      </w:r>
    </w:p>
    <w:tbl>
      <w:tblPr>
        <w:tblW w:w="9485" w:type="dxa"/>
        <w:jc w:val="left"/>
        <w:tblInd w:w="0" w:type="dxa"/>
        <w:tblLayout w:type="fixed"/>
        <w:tblCellMar>
          <w:top w:w="0" w:type="dxa"/>
          <w:left w:w="0" w:type="dxa"/>
          <w:bottom w:w="0" w:type="dxa"/>
          <w:right w:w="0" w:type="dxa"/>
        </w:tblCellMar>
      </w:tblPr>
      <w:tblGrid>
        <w:gridCol w:w="3470"/>
        <w:gridCol w:w="60"/>
        <w:gridCol w:w="273"/>
        <w:gridCol w:w="1060"/>
        <w:gridCol w:w="175"/>
        <w:gridCol w:w="131"/>
        <w:gridCol w:w="273"/>
        <w:gridCol w:w="1060"/>
        <w:gridCol w:w="80"/>
        <w:gridCol w:w="60"/>
        <w:gridCol w:w="254"/>
        <w:gridCol w:w="986"/>
        <w:gridCol w:w="162"/>
        <w:gridCol w:w="121"/>
        <w:gridCol w:w="254"/>
        <w:gridCol w:w="986"/>
        <w:gridCol w:w="80"/>
      </w:tblGrid>
      <w:tr>
        <w:tc>
          <w:tcPr>
            <w:tcW w:w="34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pPr>
            <w:r>
              <w:t> </w:t>
            </w:r>
          </w:p>
        </w:tc>
      </w:tr>
      <w:tr>
        <w:tc>
          <w:tcPr>
            <w:tcW w:w="34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62" w:type="dxa"/>
            <w:tcBorders/>
            <w:shd w:fill="FFFFFF" w:val="clear"/>
            <w:vAlign w:val="center"/>
          </w:tcPr>
          <w:p>
            <w:pPr>
              <w:pStyle w:val="TableContents"/>
              <w:bidi w:val="0"/>
              <w:spacing w:before="0" w:after="283"/>
              <w:jc w:val="left"/>
            </w:pPr>
            <w:r>
              <w:t> </w:t>
            </w:r>
          </w:p>
        </w:tc>
        <w:tc>
          <w:tcPr>
            <w:tcW w:w="121" w:type="dxa"/>
            <w:tcBorders/>
            <w:shd w:fill="FFFFFF" w:val="clear"/>
            <w:vAlign w:val="center"/>
          </w:tcPr>
          <w:p>
            <w:pPr>
              <w:pStyle w:val="TableContents"/>
              <w:bidi w:val="0"/>
              <w:spacing w:before="0" w:after="283"/>
              <w:ind w:left="0" w:right="0" w:hanging="0"/>
              <w:jc w:val="left"/>
            </w:pPr>
            <w: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w:t>
            </w:r>
          </w:p>
        </w:tc>
        <w:tc>
          <w:tcPr>
            <w:tcW w:w="175"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w:t>
            </w:r>
          </w:p>
        </w:tc>
        <w:tc>
          <w:tcPr>
            <w:tcW w:w="162" w:type="dxa"/>
            <w:tcBorders/>
            <w:shd w:fill="CCEEFF" w:val="clear"/>
            <w:vAlign w:val="center"/>
          </w:tcPr>
          <w:p>
            <w:pPr>
              <w:pStyle w:val="TableContents"/>
              <w:bidi w:val="0"/>
              <w:spacing w:before="0" w:after="283"/>
              <w:jc w:val="left"/>
            </w:pPr>
            <w:r>
              <w:t> </w:t>
            </w:r>
          </w:p>
        </w:tc>
        <w:tc>
          <w:tcPr>
            <w:tcW w:w="121" w:type="dxa"/>
            <w:tcBorders/>
            <w:shd w:fill="CCEEFF" w:val="clear"/>
            <w:vAlign w:val="center"/>
          </w:tcPr>
          <w:p>
            <w:pPr>
              <w:pStyle w:val="TableContents"/>
              <w:bidi w:val="0"/>
              <w:spacing w:before="0" w:after="283"/>
              <w:ind w:left="0" w:right="0" w:hanging="0"/>
              <w:jc w:val="left"/>
            </w:pPr>
            <w: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3,033</w:t>
            </w:r>
          </w:p>
        </w:tc>
        <w:tc>
          <w:tcPr>
            <w:tcW w:w="80" w:type="dxa"/>
            <w:tcBorders/>
            <w:shd w:fill="CCEEFF" w:val="clear"/>
            <w:vAlign w:val="center"/>
          </w:tcPr>
          <w:p>
            <w:pPr>
              <w:pStyle w:val="TableContents"/>
              <w:bidi w:val="0"/>
              <w:spacing w:before="0" w:after="283"/>
              <w:jc w:val="left"/>
            </w:pPr>
            <w:r>
              <w:t> </w:t>
            </w:r>
          </w:p>
        </w:tc>
      </w:tr>
      <w:t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for warranties during the period</w:t>
            </w:r>
          </w:p>
        </w:tc>
        <w:tc>
          <w:tcPr>
            <w:tcW w:w="60" w:type="dxa"/>
            <w:tcBorders/>
            <w:shd w:fill="FFFFFF" w:val="clear"/>
            <w:vAlign w:val="center"/>
          </w:tcPr>
          <w:p>
            <w:pPr>
              <w:pStyle w:val="TableContents"/>
              <w:bidi w:val="0"/>
              <w:spacing w:before="0" w:after="283"/>
              <w:jc w:val="left"/>
            </w:pPr>
            <w:r>
              <w:t> </w:t>
            </w:r>
          </w:p>
        </w:tc>
        <w:tc>
          <w:tcPr>
            <w:tcW w:w="273" w:type="dxa"/>
            <w:tcBorders/>
            <w:shd w:fill="FFFFFF" w:val="clear"/>
            <w:vAlign w:val="center"/>
          </w:tcPr>
          <w:p>
            <w:pPr>
              <w:pStyle w:val="TableContents"/>
              <w:bidi w:val="0"/>
              <w:spacing w:before="0" w:after="283"/>
              <w:ind w:left="0" w:right="0" w:hanging="0"/>
              <w:jc w:val="left"/>
            </w:pPr>
            <w: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273" w:type="dxa"/>
            <w:tcBorders/>
            <w:shd w:fill="FFFFFF" w:val="clear"/>
            <w:vAlign w:val="center"/>
          </w:tcPr>
          <w:p>
            <w:pPr>
              <w:pStyle w:val="TableContents"/>
              <w:bidi w:val="0"/>
              <w:spacing w:before="0" w:after="283"/>
              <w:ind w:left="0" w:right="0" w:hanging="0"/>
              <w:jc w:val="left"/>
            </w:pPr>
            <w: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ind w:left="0" w:right="0" w:hanging="0"/>
              <w:jc w:val="left"/>
            </w:pPr>
            <w: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162" w:type="dxa"/>
            <w:tcBorders/>
            <w:shd w:fill="FFFFFF" w:val="clear"/>
            <w:vAlign w:val="center"/>
          </w:tcPr>
          <w:p>
            <w:pPr>
              <w:pStyle w:val="TableContents"/>
              <w:bidi w:val="0"/>
              <w:spacing w:before="0" w:after="283"/>
              <w:jc w:val="left"/>
            </w:pPr>
            <w:r>
              <w:t> </w:t>
            </w:r>
          </w:p>
        </w:tc>
        <w:tc>
          <w:tcPr>
            <w:tcW w:w="121"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ind w:left="0" w:right="0" w:hanging="0"/>
              <w:jc w:val="left"/>
            </w:pPr>
            <w: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80" w:type="dxa"/>
            <w:tcBorders/>
            <w:shd w:fill="FFFFFF" w:val="clear"/>
            <w:vAlign w:val="center"/>
          </w:tcPr>
          <w:p>
            <w:pPr>
              <w:pStyle w:val="TableContents"/>
              <w:bidi w:val="0"/>
              <w:spacing w:before="0" w:after="283"/>
              <w:jc w:val="left"/>
            </w:pPr>
            <w:r>
              <w:t> </w:t>
            </w:r>
          </w:p>
        </w:tc>
      </w:tr>
      <w:t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during the period</w:t>
            </w:r>
          </w:p>
        </w:tc>
        <w:tc>
          <w:tcPr>
            <w:tcW w:w="60" w:type="dxa"/>
            <w:tcBorders/>
            <w:shd w:fill="CCEEFF" w:val="clear"/>
            <w:vAlign w:val="center"/>
          </w:tcPr>
          <w:p>
            <w:pPr>
              <w:pStyle w:val="TableContents"/>
              <w:bidi w:val="0"/>
              <w:spacing w:before="0" w:after="283"/>
              <w:jc w:val="left"/>
            </w:pPr>
            <w: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pPr>
            <w: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pPr>
            <w:r>
              <w:t> </w:t>
            </w:r>
          </w:p>
        </w:tc>
        <w:tc>
          <w:tcPr>
            <w:tcW w:w="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pPr>
            <w: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w:t>
            </w:r>
          </w:p>
        </w:tc>
        <w:tc>
          <w:tcPr>
            <w:tcW w:w="162" w:type="dxa"/>
            <w:tcBorders/>
            <w:shd w:fill="FFFFFF" w:val="clear"/>
            <w:vAlign w:val="center"/>
          </w:tcPr>
          <w:p>
            <w:pPr>
              <w:pStyle w:val="TableContents"/>
              <w:bidi w:val="0"/>
              <w:spacing w:before="0" w:after="283"/>
              <w:jc w:val="left"/>
            </w:pPr>
            <w:r>
              <w:t> </w:t>
            </w:r>
          </w:p>
        </w:tc>
        <w:tc>
          <w:tcPr>
            <w:tcW w:w="121" w:type="dxa"/>
            <w:tcBorders/>
            <w:shd w:fill="FFFFFF" w:val="clear"/>
            <w:vAlign w:val="center"/>
          </w:tcPr>
          <w:p>
            <w:pPr>
              <w:pStyle w:val="TableContents"/>
              <w:bidi w:val="0"/>
              <w:spacing w:before="0" w:after="283"/>
              <w:ind w:left="0" w:right="0" w:hanging="0"/>
              <w:jc w:val="left"/>
            </w:pPr>
            <w:r>
              <w:t> </w:t>
            </w:r>
          </w:p>
        </w:tc>
        <w:tc>
          <w:tcPr>
            <w:tcW w:w="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13.</w:t>
      </w:r>
      <w:r>
        <w:rPr>
          <w:rFonts w:ascii="Times New Roman;Times;serif" w:hAnsi="Times New Roman;Times;serif"/>
          <w:b/>
          <w:sz w:val="20"/>
        </w:rPr>
        <w:t xml:space="preserve"> Income Taxes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 recorded income tax expense of $3.4 million and $4.7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respectively. The Company recorded income tax expense of $0.1 million and $0.3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respectively.</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The Company's effective tax rate was 53.1% and 2.4%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respectively. The Company's effective tax rate was 27.2% and 2.7%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respectively.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the effective tax rate was higher than the U.S. statutory rate primarily due to the disallowance of certain compensation related expenses and a net expense for higher effective tax rates applicable to our foreign business.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the effective tax rate was lower than U.S. statutory rate primarily due to the valuation allowance against U.S. deferred tax assets, a majority of which was subsequently released in fiscal </w:t>
      </w:r>
      <w:r>
        <w:rPr>
          <w:rStyle w:val="Emphasis"/>
          <w:rFonts w:ascii="Times New Roman;Times;serif" w:hAnsi="Times New Roman;Times;serif"/>
          <w:sz w:val="20"/>
        </w:rPr>
        <w:t>2025.</w:t>
      </w:r>
      <w:r>
        <w:rPr>
          <w:rFonts w:ascii="Times New Roman;Times;serif" w:hAnsi="Times New Roman;Times;serif"/>
          <w:sz w:val="20"/>
        </w:rPr>
        <w:t> </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On a quarterly basis, the Company reassesses the valuation allowance on deferred income tax assets, weighing positive and negative evidence to assess the recoverability of the deferred tax assets. A tax valuation allowance is established, as needed, to reduce deferred tax assets to the amount expected to be realized. In the period in which it becomes more likely than </w:t>
      </w:r>
      <w:r>
        <w:rPr>
          <w:rStyle w:val="Emphasis"/>
          <w:rFonts w:ascii="Times New Roman;Times;serif" w:hAnsi="Times New Roman;Times;serif"/>
          <w:sz w:val="20"/>
        </w:rPr>
        <w:t>not</w:t>
      </w:r>
      <w:r>
        <w:rPr>
          <w:rFonts w:ascii="Times New Roman;Times;serif" w:hAnsi="Times New Roman;Times;serif"/>
          <w:sz w:val="20"/>
        </w:rPr>
        <w:t xml:space="preserve"> that some or all of the deferred tax assets will be realized, the valuation allowance will be adjusted. As of </w:t>
      </w:r>
      <w:r>
        <w:rPr>
          <w:rStyle w:val="Emphasis"/>
          <w:rFonts w:ascii="Times New Roman;Times;serif" w:hAnsi="Times New Roman;Times;serif"/>
          <w:sz w:val="20"/>
        </w:rPr>
        <w:t>September 30, 2026</w:t>
      </w:r>
      <w:r>
        <w:rPr>
          <w:rFonts w:ascii="Times New Roman;Times;serif" w:hAnsi="Times New Roman;Times;serif"/>
          <w:sz w:val="20"/>
        </w:rPr>
        <w:t>, the Company maintains a valuation allowance against certain deferred tax assets in the U.S. and Poland. </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September 30, 2026</w:t>
      </w:r>
      <w:r>
        <w:rPr>
          <w:rFonts w:ascii="Times New Roman;Times;serif" w:hAnsi="Times New Roman;Times;serif"/>
          <w:sz w:val="20"/>
        </w:rPr>
        <w:t>.</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14.</w:t>
      </w:r>
      <w:r>
        <w:rPr>
          <w:rFonts w:ascii="Times New Roman;Times;serif" w:hAnsi="Times New Roman;Times;serif"/>
          <w:b/>
          <w:sz w:val="20"/>
        </w:rPr>
        <w:t xml:space="preserve"> Contingent Consideration</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Comtrafo Contingent Consideration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5, 2025, </w:t>
      </w:r>
      <w:r>
        <w:rPr>
          <w:rFonts w:ascii="Times New Roman" w:hAnsi="Times New Roman"/>
          <w:caps w:val="false"/>
          <w:smallCaps w:val="false"/>
          <w:sz w:val="20"/>
        </w:rPr>
        <w:t xml:space="preserve">the Company entered into the Stock Exchange Agreement with the selling stockholders named therein. Pursuant to the terms of the Stock Exchange Agreement, the Company has agreed to pay the selling stockholders of the Comtrafo Acquisition an additional amount in cash upon the achievement of specified EBITDA objectives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following the Comtrafo Acquisition Date. The Company evaluated the Comtrafo Acquisition earnout payment set forth in the Comtrafo Stock Exchange Agreement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"Acquisition" for further details), which will require settlement in cash, and determined the contingent consideration qualified for liability classification. As a result, for each period, the fair value of the contingent consideration will be remeasured, and the resulting gain or loss will be recognized until the cash amount is fixed.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is a summary of the key assumptions used in a Monte Carlo simulation to calculate the fair value of contingent consideration related to the Comtrafo Acquisition: </w:t>
      </w:r>
    </w:p>
    <w:p>
      <w:pPr>
        <w:pStyle w:val="TextBody"/>
        <w:bidi w:val="0"/>
        <w:spacing w:before="0" w:after="0"/>
        <w:ind w:left="0" w:right="0" w:firstLine="720"/>
        <w:jc w:val="both"/>
        <w:rPr>
          <w:caps w:val="false"/>
          <w:smallCaps w:val="false"/>
        </w:rPr>
      </w:pPr>
      <w:r>
        <w:rPr>
          <w:caps w:val="false"/>
          <w:smallCaps w:val="false"/>
        </w:rPr>
        <w:t> </w:t>
      </w:r>
    </w:p>
    <w:tbl>
      <w:tblPr>
        <w:tblW w:w="5393" w:type="dxa"/>
        <w:jc w:val="left"/>
        <w:tblInd w:w="0" w:type="dxa"/>
        <w:tblLayout w:type="fixed"/>
        <w:tblCellMar>
          <w:top w:w="0" w:type="dxa"/>
          <w:left w:w="0" w:type="dxa"/>
          <w:bottom w:w="0" w:type="dxa"/>
          <w:right w:w="0" w:type="dxa"/>
        </w:tblCellMar>
      </w:tblPr>
      <w:tblGrid>
        <w:gridCol w:w="2990"/>
        <w:gridCol w:w="60"/>
        <w:gridCol w:w="294"/>
        <w:gridCol w:w="895"/>
        <w:gridCol w:w="185"/>
        <w:gridCol w:w="60"/>
        <w:gridCol w:w="179"/>
        <w:gridCol w:w="545"/>
        <w:gridCol w:w="185"/>
      </w:tblGrid>
      <w:tr>
        <w:tc>
          <w:tcPr>
            <w:tcW w:w="29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pPr>
            <w:r>
              <w:t> </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26</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pPr>
            <w:r>
              <w:t> </w:t>
            </w:r>
          </w:p>
        </w:tc>
      </w:tr>
      <w:t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Risk Premium (continuous)</w:t>
            </w:r>
          </w:p>
        </w:tc>
        <w:tc>
          <w:tcPr>
            <w:tcW w:w="60" w:type="dxa"/>
            <w:tcBorders/>
            <w:shd w:fill="CCEEFF" w:val="clear"/>
            <w:vAlign w:val="center"/>
          </w:tcPr>
          <w:p>
            <w:pPr>
              <w:pStyle w:val="TableContents"/>
              <w:bidi w:val="0"/>
              <w:spacing w:before="0" w:after="283"/>
              <w:jc w:val="left"/>
            </w:pPr>
            <w:r>
              <w:t> </w:t>
            </w:r>
          </w:p>
        </w:tc>
        <w:tc>
          <w:tcPr>
            <w:tcW w:w="294" w:type="dxa"/>
            <w:tcBorders/>
            <w:shd w:fill="CCEEFF" w:val="clear"/>
            <w:vAlign w:val="center"/>
          </w:tcPr>
          <w:p>
            <w:pPr>
              <w:pStyle w:val="TableContents"/>
              <w:bidi w:val="0"/>
              <w:spacing w:before="0" w:after="283"/>
              <w:ind w:left="0" w:right="0" w:hanging="0"/>
              <w:jc w:val="left"/>
            </w:pPr>
            <w: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ind w:left="0" w:right="0" w:hanging="0"/>
              <w:jc w:val="left"/>
            </w:pPr>
            <w: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Volatility</w:t>
            </w:r>
          </w:p>
        </w:tc>
        <w:tc>
          <w:tcPr>
            <w:tcW w:w="60" w:type="dxa"/>
            <w:tcBorders/>
            <w:shd w:fill="FFFFFF" w:val="clear"/>
            <w:vAlign w:val="center"/>
          </w:tcPr>
          <w:p>
            <w:pPr>
              <w:pStyle w:val="TableContents"/>
              <w:bidi w:val="0"/>
              <w:spacing w:before="0" w:after="283"/>
              <w:jc w:val="left"/>
            </w:pPr>
            <w:r>
              <w:t> </w:t>
            </w:r>
          </w:p>
        </w:tc>
        <w:tc>
          <w:tcPr>
            <w:tcW w:w="294"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9" w:type="dxa"/>
            <w:tcBorders/>
            <w:shd w:fill="FFFFFF" w:val="clear"/>
            <w:vAlign w:val="center"/>
          </w:tcPr>
          <w:p>
            <w:pPr>
              <w:pStyle w:val="TableContents"/>
              <w:bidi w:val="0"/>
              <w:spacing w:before="0" w:after="283"/>
              <w:ind w:left="0" w:right="0" w:hanging="0"/>
              <w:jc w:val="left"/>
            </w:pPr>
            <w: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Spread (semiannual)</w:t>
            </w:r>
          </w:p>
        </w:tc>
        <w:tc>
          <w:tcPr>
            <w:tcW w:w="60" w:type="dxa"/>
            <w:tcBorders/>
            <w:shd w:fill="CCEEFF" w:val="clear"/>
            <w:vAlign w:val="center"/>
          </w:tcPr>
          <w:p>
            <w:pPr>
              <w:pStyle w:val="TableContents"/>
              <w:bidi w:val="0"/>
              <w:spacing w:before="0" w:after="283"/>
              <w:jc w:val="left"/>
            </w:pPr>
            <w:r>
              <w:t> </w:t>
            </w:r>
          </w:p>
        </w:tc>
        <w:tc>
          <w:tcPr>
            <w:tcW w:w="294" w:type="dxa"/>
            <w:tcBorders/>
            <w:shd w:fill="CCEEFF" w:val="clear"/>
            <w:vAlign w:val="center"/>
          </w:tcPr>
          <w:p>
            <w:pPr>
              <w:pStyle w:val="TableContents"/>
              <w:bidi w:val="0"/>
              <w:spacing w:before="0" w:after="283"/>
              <w:ind w:left="0" w:right="0" w:hanging="0"/>
              <w:jc w:val="left"/>
            </w:pPr>
            <w: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ind w:left="0" w:right="0" w:hanging="0"/>
              <w:jc w:val="left"/>
            </w:pPr>
            <w: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discount rate</w:t>
            </w:r>
          </w:p>
        </w:tc>
        <w:tc>
          <w:tcPr>
            <w:tcW w:w="60" w:type="dxa"/>
            <w:tcBorders/>
            <w:shd w:fill="FFFFFF" w:val="clear"/>
            <w:vAlign w:val="center"/>
          </w:tcPr>
          <w:p>
            <w:pPr>
              <w:pStyle w:val="TableContents"/>
              <w:bidi w:val="0"/>
              <w:spacing w:before="0" w:after="283"/>
              <w:jc w:val="left"/>
            </w:pPr>
            <w:r>
              <w:t> </w:t>
            </w:r>
          </w:p>
        </w:tc>
        <w:tc>
          <w:tcPr>
            <w:tcW w:w="294"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9" w:type="dxa"/>
            <w:tcBorders/>
            <w:shd w:fill="FFFFFF" w:val="clear"/>
            <w:vAlign w:val="center"/>
          </w:tcPr>
          <w:p>
            <w:pPr>
              <w:pStyle w:val="TableContents"/>
              <w:bidi w:val="0"/>
              <w:spacing w:before="0" w:after="283"/>
              <w:ind w:left="0" w:right="0" w:hanging="0"/>
              <w:jc w:val="left"/>
            </w:pPr>
            <w: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pPr>
            <w: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pPr>
            <w:r>
              <w:t> </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ind w:left="0" w:right="0" w:hanging="0"/>
              <w:jc w:val="left"/>
            </w:pPr>
            <w:r>
              <w:t> </w:t>
            </w:r>
          </w:p>
        </w:tc>
        <w:tc>
          <w:tcPr>
            <w:tcW w:w="2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18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6887" w:type="dxa"/>
        <w:jc w:val="left"/>
        <w:tblInd w:w="0" w:type="dxa"/>
        <w:tblLayout w:type="fixed"/>
        <w:tblCellMar>
          <w:top w:w="0" w:type="dxa"/>
          <w:left w:w="0" w:type="dxa"/>
          <w:bottom w:w="0" w:type="dxa"/>
          <w:right w:w="0" w:type="dxa"/>
        </w:tblCellMar>
      </w:tblPr>
      <w:tblGrid>
        <w:gridCol w:w="2990"/>
        <w:gridCol w:w="60"/>
        <w:gridCol w:w="216"/>
        <w:gridCol w:w="658"/>
        <w:gridCol w:w="185"/>
        <w:gridCol w:w="60"/>
        <w:gridCol w:w="283"/>
        <w:gridCol w:w="861"/>
        <w:gridCol w:w="185"/>
        <w:gridCol w:w="60"/>
        <w:gridCol w:w="283"/>
        <w:gridCol w:w="861"/>
        <w:gridCol w:w="185"/>
      </w:tblGrid>
      <w:tr>
        <w:tc>
          <w:tcPr>
            <w:tcW w:w="29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05,</w:t>
            </w:r>
          </w:p>
        </w:tc>
        <w:tc>
          <w:tcPr>
            <w:tcW w:w="185" w:type="dxa"/>
            <w:tcBorders/>
            <w:shd w:fill="FFFFFF" w:val="clear"/>
            <w:vAlign w:val="center"/>
          </w:tcPr>
          <w:p>
            <w:pPr>
              <w:pStyle w:val="TableContents"/>
              <w:bidi w:val="0"/>
              <w:spacing w:before="0" w:after="283"/>
              <w:jc w:val="left"/>
            </w:pPr>
            <w:r>
              <w:t> </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25</w:t>
            </w:r>
          </w:p>
        </w:tc>
        <w:tc>
          <w:tcPr>
            <w:tcW w:w="60" w:type="dxa"/>
            <w:tcBorders/>
            <w:shd w:fill="FFFFFF" w:val="clear"/>
            <w:vAlign w:val="center"/>
          </w:tcPr>
          <w:p>
            <w:pPr>
              <w:pStyle w:val="TableContents"/>
              <w:bidi w:val="0"/>
              <w:spacing w:before="0" w:after="283"/>
              <w:ind w:left="0" w:right="0" w:hanging="0"/>
              <w:jc w:val="left"/>
            </w:pPr>
            <w: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r>
      <w:t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Risk Premium (continuous)</w:t>
            </w:r>
          </w:p>
        </w:tc>
        <w:tc>
          <w:tcPr>
            <w:tcW w:w="60" w:type="dxa"/>
            <w:tcBorders/>
            <w:shd w:fill="CCEEFF" w:val="clear"/>
            <w:vAlign w:val="center"/>
          </w:tcPr>
          <w:p>
            <w:pPr>
              <w:pStyle w:val="TableContents"/>
              <w:bidi w:val="0"/>
              <w:spacing w:before="0" w:after="283"/>
              <w:jc w:val="left"/>
            </w:pPr>
            <w:r>
              <w:t> </w:t>
            </w:r>
          </w:p>
        </w:tc>
        <w:tc>
          <w:tcPr>
            <w:tcW w:w="216" w:type="dxa"/>
            <w:tcBorders/>
            <w:shd w:fill="CCEEFF" w:val="clear"/>
            <w:vAlign w:val="center"/>
          </w:tcPr>
          <w:p>
            <w:pPr>
              <w:pStyle w:val="TableContents"/>
              <w:bidi w:val="0"/>
              <w:spacing w:before="0" w:after="283"/>
              <w:ind w:left="0" w:right="0" w:hanging="0"/>
              <w:jc w:val="left"/>
            </w:pPr>
            <w: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ind w:left="0" w:right="0" w:hanging="0"/>
              <w:jc w:val="left"/>
            </w:pPr>
            <w: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ind w:left="0" w:right="0" w:hanging="0"/>
              <w:jc w:val="left"/>
            </w:pPr>
            <w: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Volatility</w:t>
            </w:r>
          </w:p>
        </w:tc>
        <w:tc>
          <w:tcPr>
            <w:tcW w:w="60" w:type="dxa"/>
            <w:tcBorders/>
            <w:shd w:fill="FFFFFF" w:val="clear"/>
            <w:vAlign w:val="center"/>
          </w:tcPr>
          <w:p>
            <w:pPr>
              <w:pStyle w:val="TableContents"/>
              <w:bidi w:val="0"/>
              <w:spacing w:before="0" w:after="283"/>
              <w:jc w:val="left"/>
            </w:pPr>
            <w:r>
              <w:t> </w:t>
            </w:r>
          </w:p>
        </w:tc>
        <w:tc>
          <w:tcPr>
            <w:tcW w:w="216" w:type="dxa"/>
            <w:tcBorders/>
            <w:shd w:fill="FFFFFF" w:val="clear"/>
            <w:vAlign w:val="center"/>
          </w:tcPr>
          <w:p>
            <w:pPr>
              <w:pStyle w:val="TableContents"/>
              <w:bidi w:val="0"/>
              <w:spacing w:before="0" w:after="283"/>
              <w:ind w:left="0" w:right="0" w:hanging="0"/>
              <w:jc w:val="left"/>
            </w:pPr>
            <w: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83"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83"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Spread (semiannual)</w:t>
            </w:r>
          </w:p>
        </w:tc>
        <w:tc>
          <w:tcPr>
            <w:tcW w:w="60" w:type="dxa"/>
            <w:tcBorders/>
            <w:shd w:fill="CCEEFF" w:val="clear"/>
            <w:vAlign w:val="center"/>
          </w:tcPr>
          <w:p>
            <w:pPr>
              <w:pStyle w:val="TableContents"/>
              <w:bidi w:val="0"/>
              <w:spacing w:before="0" w:after="283"/>
              <w:jc w:val="left"/>
            </w:pPr>
            <w:r>
              <w:t> </w:t>
            </w:r>
          </w:p>
        </w:tc>
        <w:tc>
          <w:tcPr>
            <w:tcW w:w="216" w:type="dxa"/>
            <w:tcBorders/>
            <w:shd w:fill="CCEEFF" w:val="clear"/>
            <w:vAlign w:val="center"/>
          </w:tcPr>
          <w:p>
            <w:pPr>
              <w:pStyle w:val="TableContents"/>
              <w:bidi w:val="0"/>
              <w:spacing w:before="0" w:after="283"/>
              <w:ind w:left="0" w:right="0" w:hanging="0"/>
              <w:jc w:val="left"/>
            </w:pPr>
            <w: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ind w:left="0" w:right="0" w:hanging="0"/>
              <w:jc w:val="left"/>
            </w:pPr>
            <w: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83" w:type="dxa"/>
            <w:tcBorders/>
            <w:shd w:fill="CCEEFF" w:val="clear"/>
            <w:vAlign w:val="center"/>
          </w:tcPr>
          <w:p>
            <w:pPr>
              <w:pStyle w:val="TableContents"/>
              <w:bidi w:val="0"/>
              <w:spacing w:before="0" w:after="283"/>
              <w:ind w:left="0" w:right="0" w:hanging="0"/>
              <w:jc w:val="left"/>
            </w:pPr>
            <w: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discount rate</w:t>
            </w:r>
          </w:p>
        </w:tc>
        <w:tc>
          <w:tcPr>
            <w:tcW w:w="60" w:type="dxa"/>
            <w:tcBorders/>
            <w:shd w:fill="FFFFFF" w:val="clear"/>
            <w:vAlign w:val="center"/>
          </w:tcPr>
          <w:p>
            <w:pPr>
              <w:pStyle w:val="TableContents"/>
              <w:bidi w:val="0"/>
              <w:spacing w:before="0" w:after="283"/>
              <w:jc w:val="left"/>
            </w:pPr>
            <w:r>
              <w:t> </w:t>
            </w:r>
          </w:p>
        </w:tc>
        <w:tc>
          <w:tcPr>
            <w:tcW w:w="216" w:type="dxa"/>
            <w:tcBorders/>
            <w:shd w:fill="FFFFFF" w:val="clear"/>
            <w:vAlign w:val="center"/>
          </w:tcPr>
          <w:p>
            <w:pPr>
              <w:pStyle w:val="TableContents"/>
              <w:bidi w:val="0"/>
              <w:spacing w:before="0" w:after="283"/>
              <w:ind w:left="0" w:right="0" w:hanging="0"/>
              <w:jc w:val="left"/>
            </w:pPr>
            <w: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83"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83"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pPr>
            <w: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pPr>
            <w:r>
              <w:t> </w:t>
            </w:r>
          </w:p>
        </w:tc>
      </w:tr>
      <w:t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ind w:left="0" w:right="0" w:hanging="0"/>
              <w:jc w:val="left"/>
            </w:pPr>
            <w: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8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pPr>
      <w:r>
        <w:rPr>
          <w:rFonts w:ascii="Times New Roman" w:hAnsi="Times New Roman"/>
          <w:caps w:val="false"/>
          <w:smallCaps w:val="false"/>
          <w:sz w:val="20"/>
        </w:rPr>
        <w:t>The Company performed an analysis on the change in fair value through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and recorded a gain from the change in fair value of the contingent consideration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of $1.3 million and $9.4 million, respectively. The Company did not record any activity related to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both"/>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sheets. </w:t>
      </w:r>
    </w:p>
    <w:p>
      <w:pPr>
        <w:pStyle w:val="TextBody"/>
        <w:bidi w:val="0"/>
        <w:spacing w:before="0" w:after="0"/>
        <w:ind w:left="0" w:right="0" w:firstLine="720"/>
        <w:jc w:val="both"/>
      </w:pPr>
      <w:r>
        <w:t> </w:t>
      </w:r>
    </w:p>
    <w:p>
      <w:pPr>
        <w:pStyle w:val="TextBody"/>
        <w:bidi w:val="0"/>
        <w:spacing w:before="0" w:after="0"/>
        <w:jc w:val="cente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are as follows (in thousands):</w:t>
      </w:r>
    </w:p>
    <w:p>
      <w:pPr>
        <w:pStyle w:val="TextBody"/>
        <w:bidi w:val="0"/>
        <w:spacing w:before="0" w:after="0"/>
        <w:ind w:left="0" w:right="0" w:firstLine="720"/>
        <w:jc w:val="both"/>
      </w:pPr>
      <w:r>
        <w:t> </w:t>
      </w:r>
    </w:p>
    <w:tbl>
      <w:tblPr>
        <w:tblW w:w="6713" w:type="dxa"/>
        <w:jc w:val="left"/>
        <w:tblInd w:w="0" w:type="dxa"/>
        <w:tblLayout w:type="fixed"/>
        <w:tblCellMar>
          <w:top w:w="0" w:type="dxa"/>
          <w:left w:w="0" w:type="dxa"/>
          <w:bottom w:w="0" w:type="dxa"/>
          <w:right w:w="0" w:type="dxa"/>
        </w:tblCellMar>
      </w:tblPr>
      <w:tblGrid>
        <w:gridCol w:w="3230"/>
        <w:gridCol w:w="60"/>
        <w:gridCol w:w="338"/>
        <w:gridCol w:w="1316"/>
        <w:gridCol w:w="185"/>
        <w:gridCol w:w="60"/>
        <w:gridCol w:w="274"/>
        <w:gridCol w:w="1065"/>
        <w:gridCol w:w="185"/>
      </w:tblGrid>
      <w:tr>
        <w:tc>
          <w:tcPr>
            <w:tcW w:w="32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September 30, 2026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March 31, 2026</w:t>
            </w:r>
          </w:p>
        </w:tc>
        <w:tc>
          <w:tcPr>
            <w:tcW w:w="185"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c>
          <w:tcPr>
            <w:tcW w:w="60" w:type="dxa"/>
            <w:tcBorders/>
            <w:shd w:fill="CCEEFF" w:val="clear"/>
            <w:vAlign w:val="center"/>
          </w:tcPr>
          <w:p>
            <w:pPr>
              <w:pStyle w:val="TableContents"/>
              <w:bidi w:val="0"/>
              <w:spacing w:before="0" w:after="283"/>
              <w:jc w:val="left"/>
            </w:pPr>
            <w:r>
              <w:t> </w:t>
            </w:r>
          </w:p>
        </w:tc>
        <w:tc>
          <w:tcPr>
            <w:tcW w:w="338" w:type="dxa"/>
            <w:tcBorders/>
            <w:shd w:fill="CCEEFF" w:val="clear"/>
            <w:vAlign w:val="center"/>
          </w:tcPr>
          <w:p>
            <w:pPr>
              <w:pStyle w:val="TableContents"/>
              <w:bidi w:val="0"/>
              <w:spacing w:before="0" w:after="283"/>
              <w:jc w:val="left"/>
            </w:pPr>
            <w:r>
              <w:t> </w:t>
            </w:r>
          </w:p>
        </w:tc>
        <w:tc>
          <w:tcPr>
            <w:tcW w:w="1316" w:type="dxa"/>
            <w:tcBorders/>
            <w:shd w:fill="CCEEFF" w:val="clear"/>
            <w:vAlign w:val="center"/>
          </w:tcPr>
          <w:p>
            <w:pPr>
              <w:pStyle w:val="TableContents"/>
              <w:bidi w:val="0"/>
              <w:spacing w:before="0" w:after="283"/>
              <w:jc w:val="both"/>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jc w:val="left"/>
            </w:pPr>
            <w:r>
              <w:t> </w:t>
            </w:r>
          </w:p>
        </w:tc>
        <w:tc>
          <w:tcPr>
            <w:tcW w:w="1065" w:type="dxa"/>
            <w:tcBorders/>
            <w:shd w:fill="CCEEFF" w:val="clear"/>
            <w:vAlign w:val="center"/>
          </w:tcPr>
          <w:p>
            <w:pPr>
              <w:pStyle w:val="TableContents"/>
              <w:bidi w:val="0"/>
              <w:spacing w:before="0" w:after="283"/>
              <w:jc w:val="both"/>
            </w:pPr>
            <w:r>
              <w:t> </w:t>
            </w:r>
          </w:p>
        </w:tc>
        <w:tc>
          <w:tcPr>
            <w:tcW w:w="185"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Right-of-use assets – Operating</w:t>
            </w:r>
          </w:p>
        </w:tc>
        <w:tc>
          <w:tcPr>
            <w:tcW w:w="60" w:type="dxa"/>
            <w:tcBorders/>
            <w:shd w:fill="FFFFFF" w:val="clear"/>
            <w:vAlign w:val="center"/>
          </w:tcPr>
          <w:p>
            <w:pPr>
              <w:pStyle w:val="TableContents"/>
              <w:bidi w:val="0"/>
              <w:spacing w:before="0" w:after="283"/>
              <w:ind w:left="0" w:right="0" w:hanging="0"/>
              <w:jc w:val="left"/>
            </w:pPr>
            <w: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7,056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3,897</w:t>
            </w:r>
          </w:p>
        </w:tc>
        <w:tc>
          <w:tcPr>
            <w:tcW w:w="185"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right-of-use assets</w:t>
            </w:r>
          </w:p>
        </w:tc>
        <w:tc>
          <w:tcPr>
            <w:tcW w:w="60" w:type="dxa"/>
            <w:tcBorders/>
            <w:shd w:fill="CCEEFF" w:val="clear"/>
            <w:vAlign w:val="center"/>
          </w:tcPr>
          <w:p>
            <w:pPr>
              <w:pStyle w:val="TableContents"/>
              <w:bidi w:val="0"/>
              <w:spacing w:before="0" w:after="283"/>
              <w:jc w:val="left"/>
            </w:pPr>
            <w: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7,056</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3,897</w:t>
            </w:r>
          </w:p>
        </w:tc>
        <w:tc>
          <w:tcPr>
            <w:tcW w:w="185"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8" w:type="dxa"/>
            <w:tcBorders/>
            <w:shd w:fill="FFFFFF" w:val="clear"/>
            <w:vAlign w:val="center"/>
          </w:tcPr>
          <w:p>
            <w:pPr>
              <w:pStyle w:val="TableContents"/>
              <w:bidi w:val="0"/>
              <w:spacing w:before="0" w:after="283"/>
              <w:jc w:val="left"/>
            </w:pPr>
            <w:r>
              <w:t> </w:t>
            </w:r>
          </w:p>
        </w:tc>
        <w:tc>
          <w:tcPr>
            <w:tcW w:w="1316"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106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ST Operating</w:t>
            </w:r>
          </w:p>
        </w:tc>
        <w:tc>
          <w:tcPr>
            <w:tcW w:w="60" w:type="dxa"/>
            <w:tcBorders/>
            <w:shd w:fill="CCEEFF" w:val="clear"/>
            <w:vAlign w:val="center"/>
          </w:tcPr>
          <w:p>
            <w:pPr>
              <w:pStyle w:val="TableContents"/>
              <w:bidi w:val="0"/>
              <w:spacing w:before="0" w:after="283"/>
              <w:ind w:left="0" w:right="0" w:hanging="0"/>
              <w:jc w:val="left"/>
            </w:pPr>
            <w:r>
              <w:t> </w:t>
            </w:r>
          </w:p>
        </w:tc>
        <w:tc>
          <w:tcPr>
            <w:tcW w:w="338" w:type="dxa"/>
            <w:tcBorders/>
            <w:shd w:fill="CCEEFF" w:val="clear"/>
            <w:vAlign w:val="center"/>
          </w:tcPr>
          <w:p>
            <w:pPr>
              <w:pStyle w:val="TableContents"/>
              <w:bidi w:val="0"/>
              <w:spacing w:before="0" w:after="283"/>
              <w:ind w:left="0" w:right="0" w:hanging="0"/>
              <w:jc w:val="left"/>
            </w:pPr>
            <w:r>
              <w:t> </w:t>
            </w:r>
          </w:p>
        </w:tc>
        <w:tc>
          <w:tcPr>
            <w:tcW w:w="1316" w:type="dxa"/>
            <w:tcBorders/>
            <w:shd w:fill="CCEEFF" w:val="clear"/>
            <w:vAlign w:val="center"/>
          </w:tcPr>
          <w:p>
            <w:pPr>
              <w:pStyle w:val="TableContents"/>
              <w:bidi w:val="0"/>
              <w:spacing w:before="0" w:after="283"/>
              <w:ind w:left="0" w:right="0" w:hanging="0"/>
              <w:jc w:val="right"/>
              <w:rPr>
                <w:sz w:val="20"/>
              </w:rPr>
            </w:pPr>
            <w:r>
              <w:rPr>
                <w:sz w:val="20"/>
              </w:rPr>
              <w:t>1,387</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shd w:fill="CCEEFF" w:val="clear"/>
            <w:vAlign w:val="center"/>
          </w:tcPr>
          <w:p>
            <w:pPr>
              <w:pStyle w:val="TableContents"/>
              <w:bidi w:val="0"/>
              <w:spacing w:before="0" w:after="283"/>
              <w:ind w:left="0" w:right="0" w:hanging="0"/>
              <w:jc w:val="left"/>
            </w:pPr>
            <w:r>
              <w:t> </w:t>
            </w:r>
          </w:p>
        </w:tc>
        <w:tc>
          <w:tcPr>
            <w:tcW w:w="1065" w:type="dxa"/>
            <w:tcBorders/>
            <w:shd w:fill="CCEEFF" w:val="clear"/>
            <w:vAlign w:val="center"/>
          </w:tcPr>
          <w:p>
            <w:pPr>
              <w:pStyle w:val="TableContents"/>
              <w:bidi w:val="0"/>
              <w:spacing w:before="0" w:after="283"/>
              <w:ind w:left="0" w:right="0" w:hanging="0"/>
              <w:jc w:val="right"/>
              <w:rPr>
                <w:sz w:val="20"/>
              </w:rPr>
            </w:pPr>
            <w:r>
              <w:rPr>
                <w:sz w:val="20"/>
              </w:rPr>
              <w:t>1,238</w:t>
            </w:r>
          </w:p>
        </w:tc>
        <w:tc>
          <w:tcPr>
            <w:tcW w:w="185"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 LT Operating</w:t>
            </w:r>
          </w:p>
        </w:tc>
        <w:tc>
          <w:tcPr>
            <w:tcW w:w="60" w:type="dxa"/>
            <w:tcBorders/>
            <w:shd w:fill="FFFFFF" w:val="clear"/>
            <w:vAlign w:val="center"/>
          </w:tcPr>
          <w:p>
            <w:pPr>
              <w:pStyle w:val="TableContents"/>
              <w:bidi w:val="0"/>
              <w:spacing w:before="0" w:after="283"/>
              <w:ind w:left="0" w:right="0" w:hanging="0"/>
              <w:jc w:val="left"/>
            </w:pPr>
            <w:r>
              <w:t> </w:t>
            </w:r>
          </w:p>
        </w:tc>
        <w:tc>
          <w:tcPr>
            <w:tcW w:w="3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316"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5,837</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65"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2,762</w:t>
            </w:r>
          </w:p>
        </w:tc>
        <w:tc>
          <w:tcPr>
            <w:tcW w:w="185"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lease liabilities</w:t>
            </w:r>
          </w:p>
        </w:tc>
        <w:tc>
          <w:tcPr>
            <w:tcW w:w="60" w:type="dxa"/>
            <w:tcBorders/>
            <w:shd w:fill="CCEEFF" w:val="clear"/>
            <w:vAlign w:val="center"/>
          </w:tcPr>
          <w:p>
            <w:pPr>
              <w:pStyle w:val="TableContents"/>
              <w:bidi w:val="0"/>
              <w:spacing w:before="0" w:after="283"/>
              <w:ind w:left="0" w:right="0" w:hanging="0"/>
              <w:jc w:val="left"/>
            </w:pPr>
            <w: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7,224</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4,000</w:t>
            </w:r>
          </w:p>
        </w:tc>
        <w:tc>
          <w:tcPr>
            <w:tcW w:w="185"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8" w:type="dxa"/>
            <w:tcBorders/>
            <w:shd w:fill="FFFFFF" w:val="clear"/>
            <w:vAlign w:val="center"/>
          </w:tcPr>
          <w:p>
            <w:pPr>
              <w:pStyle w:val="TableContents"/>
              <w:bidi w:val="0"/>
              <w:spacing w:before="0" w:after="283"/>
              <w:jc w:val="left"/>
            </w:pPr>
            <w:r>
              <w:t> </w:t>
            </w:r>
          </w:p>
        </w:tc>
        <w:tc>
          <w:tcPr>
            <w:tcW w:w="1316"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106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60" w:type="dxa"/>
            <w:tcBorders/>
            <w:shd w:fill="CCEEFF" w:val="clear"/>
            <w:vAlign w:val="center"/>
          </w:tcPr>
          <w:p>
            <w:pPr>
              <w:pStyle w:val="TableContents"/>
              <w:bidi w:val="0"/>
              <w:spacing w:before="0" w:after="283"/>
              <w:jc w:val="left"/>
            </w:pPr>
            <w:r>
              <w:t> </w:t>
            </w:r>
          </w:p>
        </w:tc>
        <w:tc>
          <w:tcPr>
            <w:tcW w:w="338" w:type="dxa"/>
            <w:tcBorders/>
            <w:shd w:fill="CCEEFF" w:val="clear"/>
            <w:vAlign w:val="center"/>
          </w:tcPr>
          <w:p>
            <w:pPr>
              <w:pStyle w:val="TableContents"/>
              <w:bidi w:val="0"/>
              <w:spacing w:before="0" w:after="283"/>
              <w:jc w:val="left"/>
            </w:pPr>
            <w:r>
              <w:t> </w:t>
            </w:r>
          </w:p>
        </w:tc>
        <w:tc>
          <w:tcPr>
            <w:tcW w:w="1316" w:type="dxa"/>
            <w:tcBorders/>
            <w:shd w:fill="CCEEFF" w:val="clear"/>
            <w:vAlign w:val="center"/>
          </w:tcPr>
          <w:p>
            <w:pPr>
              <w:pStyle w:val="TableContents"/>
              <w:bidi w:val="0"/>
              <w:spacing w:before="0" w:after="283"/>
              <w:jc w:val="right"/>
              <w:rPr>
                <w:sz w:val="20"/>
              </w:rPr>
            </w:pPr>
            <w:r>
              <w:rPr>
                <w:sz w:val="20"/>
              </w:rPr>
              <w:t>9.25</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jc w:val="left"/>
            </w:pPr>
            <w:r>
              <w:t> </w:t>
            </w:r>
          </w:p>
        </w:tc>
        <w:tc>
          <w:tcPr>
            <w:tcW w:w="1065" w:type="dxa"/>
            <w:tcBorders/>
            <w:shd w:fill="CCEEFF" w:val="clear"/>
            <w:vAlign w:val="center"/>
          </w:tcPr>
          <w:p>
            <w:pPr>
              <w:pStyle w:val="TableContents"/>
              <w:bidi w:val="0"/>
              <w:spacing w:before="0" w:after="283"/>
              <w:jc w:val="right"/>
              <w:rPr>
                <w:sz w:val="20"/>
              </w:rPr>
            </w:pPr>
            <w:r>
              <w:rPr>
                <w:sz w:val="20"/>
              </w:rPr>
              <w:t>4.26</w:t>
            </w:r>
          </w:p>
        </w:tc>
        <w:tc>
          <w:tcPr>
            <w:tcW w:w="185"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FFFFFF" w:val="clear"/>
            <w:vAlign w:val="center"/>
          </w:tcPr>
          <w:p>
            <w:pPr>
              <w:pStyle w:val="TableContents"/>
              <w:bidi w:val="0"/>
              <w:spacing w:before="0" w:after="283"/>
              <w:jc w:val="left"/>
            </w:pPr>
            <w:r>
              <w:t> </w:t>
            </w:r>
          </w:p>
        </w:tc>
        <w:tc>
          <w:tcPr>
            <w:tcW w:w="338" w:type="dxa"/>
            <w:tcBorders/>
            <w:shd w:fill="FFFFFF" w:val="clear"/>
            <w:vAlign w:val="center"/>
          </w:tcPr>
          <w:p>
            <w:pPr>
              <w:pStyle w:val="TableContents"/>
              <w:bidi w:val="0"/>
              <w:spacing w:before="0" w:after="283"/>
              <w:jc w:val="left"/>
            </w:pPr>
            <w:r>
              <w:t> </w:t>
            </w:r>
          </w:p>
        </w:tc>
        <w:tc>
          <w:tcPr>
            <w:tcW w:w="1316" w:type="dxa"/>
            <w:tcBorders/>
            <w:shd w:fill="FFFFFF" w:val="clear"/>
            <w:vAlign w:val="center"/>
          </w:tcPr>
          <w:p>
            <w:pPr>
              <w:pStyle w:val="TableContents"/>
              <w:bidi w:val="0"/>
              <w:spacing w:before="0" w:after="283"/>
              <w:jc w:val="right"/>
              <w:rPr>
                <w:sz w:val="20"/>
              </w:rPr>
            </w:pPr>
            <w:r>
              <w:rPr>
                <w:sz w:val="20"/>
              </w:rPr>
              <w:t>12.00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1065" w:type="dxa"/>
            <w:tcBorders/>
            <w:shd w:fill="FFFFFF" w:val="clear"/>
            <w:vAlign w:val="center"/>
          </w:tcPr>
          <w:p>
            <w:pPr>
              <w:pStyle w:val="TableContents"/>
              <w:bidi w:val="0"/>
              <w:spacing w:before="0" w:after="283"/>
              <w:jc w:val="right"/>
              <w:rPr>
                <w:sz w:val="20"/>
              </w:rPr>
            </w:pPr>
            <w:r>
              <w:rPr>
                <w:sz w:val="20"/>
              </w:rPr>
              <w:t>14.13</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are as follows (in thousands):</w:t>
      </w:r>
    </w:p>
    <w:p>
      <w:pPr>
        <w:pStyle w:val="TextBody"/>
        <w:bidi w:val="0"/>
        <w:spacing w:before="0" w:after="0"/>
        <w:ind w:left="0" w:right="0" w:firstLine="720"/>
        <w:jc w:val="both"/>
      </w:pPr>
      <w:r>
        <w:t> </w:t>
      </w:r>
    </w:p>
    <w:tbl>
      <w:tblPr>
        <w:tblW w:w="8557" w:type="dxa"/>
        <w:jc w:val="left"/>
        <w:tblInd w:w="0" w:type="dxa"/>
        <w:tblLayout w:type="fixed"/>
        <w:tblCellMar>
          <w:top w:w="0" w:type="dxa"/>
          <w:left w:w="0" w:type="dxa"/>
          <w:bottom w:w="0" w:type="dxa"/>
          <w:right w:w="0" w:type="dxa"/>
        </w:tblCellMar>
      </w:tblPr>
      <w:tblGrid>
        <w:gridCol w:w="2585"/>
        <w:gridCol w:w="60"/>
        <w:gridCol w:w="357"/>
        <w:gridCol w:w="958"/>
        <w:gridCol w:w="171"/>
        <w:gridCol w:w="171"/>
        <w:gridCol w:w="357"/>
        <w:gridCol w:w="958"/>
        <w:gridCol w:w="60"/>
        <w:gridCol w:w="60"/>
        <w:gridCol w:w="257"/>
        <w:gridCol w:w="1000"/>
        <w:gridCol w:w="123"/>
        <w:gridCol w:w="123"/>
        <w:gridCol w:w="257"/>
        <w:gridCol w:w="1000"/>
        <w:gridCol w:w="60"/>
      </w:tblGrid>
      <w:tr>
        <w:tc>
          <w:tcPr>
            <w:tcW w:w="25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25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71"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pPr>
            <w:r>
              <w:t> </w:t>
            </w:r>
          </w:p>
        </w:tc>
        <w:tc>
          <w:tcPr>
            <w:tcW w:w="357"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both"/>
            </w:pPr>
            <w:r>
              <w:t> </w:t>
            </w:r>
          </w:p>
        </w:tc>
        <w:tc>
          <w:tcPr>
            <w:tcW w:w="171"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357"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jc w:val="both"/>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283"/>
              <w:jc w:val="left"/>
            </w:pPr>
            <w:r>
              <w:t> </w:t>
            </w:r>
          </w:p>
        </w:tc>
        <w:tc>
          <w:tcPr>
            <w:tcW w:w="1000" w:type="dxa"/>
            <w:tcBorders/>
            <w:shd w:fill="CCEEFF" w:val="clear"/>
            <w:vAlign w:val="center"/>
          </w:tcPr>
          <w:p>
            <w:pPr>
              <w:pStyle w:val="TableContents"/>
              <w:bidi w:val="0"/>
              <w:spacing w:before="0" w:after="283"/>
              <w:jc w:val="both"/>
            </w:pPr>
            <w:r>
              <w:t> </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283"/>
              <w:jc w:val="left"/>
            </w:pPr>
            <w:r>
              <w:t> </w:t>
            </w:r>
          </w:p>
        </w:tc>
        <w:tc>
          <w:tcPr>
            <w:tcW w:w="1000" w:type="dxa"/>
            <w:tcBorders/>
            <w:shd w:fill="CCEEFF" w:val="clear"/>
            <w:vAlign w:val="center"/>
          </w:tcPr>
          <w:p>
            <w:pPr>
              <w:pStyle w:val="TableContents"/>
              <w:bidi w:val="0"/>
              <w:spacing w:before="0" w:after="283"/>
              <w:jc w:val="both"/>
            </w:pPr>
            <w:r>
              <w:t> </w:t>
            </w:r>
          </w:p>
        </w:tc>
        <w:tc>
          <w:tcPr>
            <w:tcW w:w="60" w:type="dxa"/>
            <w:tcBorders/>
            <w:shd w:fill="CCEEFF" w:val="clear"/>
            <w:vAlign w:val="center"/>
          </w:tcPr>
          <w:p>
            <w:pPr>
              <w:pStyle w:val="TableContents"/>
              <w:bidi w:val="0"/>
              <w:spacing w:before="0" w:after="283"/>
              <w:jc w:val="left"/>
            </w:pPr>
            <w:r>
              <w:t> </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pPr>
            <w:r>
              <w:t> </w:t>
            </w:r>
          </w:p>
        </w:tc>
        <w:tc>
          <w:tcPr>
            <w:tcW w:w="3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71"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3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60" w:type="dxa"/>
            <w:tcBorders/>
            <w:shd w:fill="FFFFFF" w:val="clear"/>
            <w:vAlign w:val="center"/>
          </w:tcPr>
          <w:p>
            <w:pPr>
              <w:pStyle w:val="TableContents"/>
              <w:bidi w:val="0"/>
              <w:spacing w:before="0" w:after="283"/>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pPr>
            <w:r>
              <w:t> </w:t>
            </w:r>
          </w:p>
        </w:tc>
        <w:tc>
          <w:tcPr>
            <w:tcW w:w="357"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71"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357" w:type="dxa"/>
            <w:tcBorders/>
            <w:shd w:fill="CCEEFF" w:val="clear"/>
            <w:vAlign w:val="center"/>
          </w:tcPr>
          <w:p>
            <w:pPr>
              <w:pStyle w:val="TableContents"/>
              <w:bidi w:val="0"/>
              <w:spacing w:before="0" w:after="283"/>
              <w:ind w:left="0" w:right="0" w:hanging="0"/>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283"/>
              <w:ind w:left="0" w:right="0" w:hanging="0"/>
              <w:jc w:val="left"/>
            </w:pPr>
            <w: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jc w:val="left"/>
            </w:pPr>
            <w:r>
              <w:t> </w:t>
            </w:r>
          </w:p>
        </w:tc>
        <w:tc>
          <w:tcPr>
            <w:tcW w:w="257" w:type="dxa"/>
            <w:tcBorders/>
            <w:shd w:fill="CCEEFF" w:val="clear"/>
            <w:vAlign w:val="center"/>
          </w:tcPr>
          <w:p>
            <w:pPr>
              <w:pStyle w:val="TableContents"/>
              <w:bidi w:val="0"/>
              <w:spacing w:before="0" w:after="283"/>
              <w:ind w:left="0" w:right="0" w:hanging="0"/>
              <w:jc w:val="left"/>
            </w:pPr>
            <w: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pPr>
            <w:r>
              <w:t> </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pPr>
            <w: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71"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pPr>
            <w: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71"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ind w:left="0" w:right="0" w:hanging="0"/>
              <w:jc w:val="left"/>
            </w:pPr>
            <w: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jc w:val="cente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pPr>
      <w:r>
        <w:t> </w:t>
      </w:r>
    </w:p>
    <w:tbl>
      <w:tblPr>
        <w:tblW w:w="3440" w:type="dxa"/>
        <w:jc w:val="left"/>
        <w:tblInd w:w="0" w:type="dxa"/>
        <w:tblLayout w:type="fixed"/>
        <w:tblCellMar>
          <w:top w:w="0" w:type="dxa"/>
          <w:left w:w="0" w:type="dxa"/>
          <w:bottom w:w="0" w:type="dxa"/>
          <w:right w:w="0" w:type="dxa"/>
        </w:tblCellMar>
      </w:tblPr>
      <w:tblGrid>
        <w:gridCol w:w="2585"/>
        <w:gridCol w:w="60"/>
        <w:gridCol w:w="125"/>
        <w:gridCol w:w="590"/>
        <w:gridCol w:w="80"/>
      </w:tblGrid>
      <w:tr>
        <w:tc>
          <w:tcPr>
            <w:tcW w:w="25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both"/>
            </w:pPr>
            <w:r>
              <w:t> </w:t>
            </w:r>
          </w:p>
        </w:tc>
        <w:tc>
          <w:tcPr>
            <w:tcW w:w="80" w:type="dxa"/>
            <w:tcBorders/>
            <w:shd w:fill="CCEEFF" w:val="clear"/>
            <w:vAlign w:val="center"/>
          </w:tcPr>
          <w:p>
            <w:pPr>
              <w:pStyle w:val="TableContents"/>
              <w:bidi w:val="0"/>
              <w:spacing w:before="0" w:after="283"/>
              <w:jc w:val="left"/>
            </w:pPr>
            <w:r>
              <w:t> </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w:t>
            </w:r>
          </w:p>
        </w:tc>
        <w:tc>
          <w:tcPr>
            <w:tcW w:w="80" w:type="dxa"/>
            <w:tcBorders/>
            <w:shd w:fill="FFFFFF" w:val="clear"/>
            <w:vAlign w:val="center"/>
          </w:tcPr>
          <w:p>
            <w:pPr>
              <w:pStyle w:val="TableContents"/>
              <w:bidi w:val="0"/>
              <w:spacing w:before="0" w:after="283"/>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w:t>
            </w:r>
          </w:p>
        </w:tc>
        <w:tc>
          <w:tcPr>
            <w:tcW w:w="80" w:type="dxa"/>
            <w:tcBorders/>
            <w:shd w:fill="CCEEFF" w:val="clear"/>
            <w:vAlign w:val="center"/>
          </w:tcPr>
          <w:p>
            <w:pPr>
              <w:pStyle w:val="TableContents"/>
              <w:bidi w:val="0"/>
              <w:spacing w:before="0" w:after="283"/>
              <w:jc w:val="left"/>
            </w:pPr>
            <w:r>
              <w:t> </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w:t>
            </w:r>
          </w:p>
        </w:tc>
        <w:tc>
          <w:tcPr>
            <w:tcW w:w="80" w:type="dxa"/>
            <w:tcBorders/>
            <w:shd w:fill="FFFFFF" w:val="clear"/>
            <w:vAlign w:val="center"/>
          </w:tcPr>
          <w:p>
            <w:pPr>
              <w:pStyle w:val="TableContents"/>
              <w:bidi w:val="0"/>
              <w:spacing w:before="0" w:after="283"/>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857</w:t>
            </w:r>
          </w:p>
        </w:tc>
        <w:tc>
          <w:tcPr>
            <w:tcW w:w="80" w:type="dxa"/>
            <w:tcBorders/>
            <w:shd w:fill="CCEEFF" w:val="clear"/>
            <w:vAlign w:val="center"/>
          </w:tcPr>
          <w:p>
            <w:pPr>
              <w:pStyle w:val="TableContents"/>
              <w:bidi w:val="0"/>
              <w:spacing w:before="0" w:after="283"/>
              <w:jc w:val="left"/>
            </w:pPr>
            <w:r>
              <w:t> </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w:t>
            </w:r>
          </w:p>
        </w:tc>
        <w:tc>
          <w:tcPr>
            <w:tcW w:w="80" w:type="dxa"/>
            <w:tcBorders/>
            <w:shd w:fill="FFFFFF" w:val="clear"/>
            <w:vAlign w:val="center"/>
          </w:tcPr>
          <w:p>
            <w:pPr>
              <w:pStyle w:val="TableContents"/>
              <w:bidi w:val="0"/>
              <w:spacing w:before="0" w:after="283"/>
              <w:ind w:left="0" w:right="0" w:hanging="0"/>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w:t>
            </w:r>
          </w:p>
        </w:tc>
        <w:tc>
          <w:tcPr>
            <w:tcW w:w="80" w:type="dxa"/>
            <w:tcBorders/>
            <w:shd w:fill="CCEEFF" w:val="clear"/>
            <w:vAlign w:val="center"/>
          </w:tcPr>
          <w:p>
            <w:pPr>
              <w:pStyle w:val="TableContents"/>
              <w:bidi w:val="0"/>
              <w:spacing w:before="0" w:after="0"/>
              <w:jc w:val="left"/>
            </w:pPr>
            <w:r>
              <w:t> </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12,253</w:t>
            </w:r>
          </w:p>
        </w:tc>
        <w:tc>
          <w:tcPr>
            <w:tcW w:w="80" w:type="dxa"/>
            <w:tcBorders/>
            <w:shd w:fill="FFFFFF" w:val="clear"/>
            <w:vAlign w:val="center"/>
          </w:tcPr>
          <w:p>
            <w:pPr>
              <w:pStyle w:val="TableContents"/>
              <w:bidi w:val="0"/>
              <w:spacing w:before="0" w:after="283"/>
              <w:ind w:left="0" w:right="0" w:hanging="0"/>
              <w:jc w:val="left"/>
            </w:pPr>
            <w:r>
              <w:t> </w:t>
            </w:r>
          </w:p>
        </w:tc>
      </w:tr>
      <w:t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w:t>
            </w:r>
          </w:p>
        </w:tc>
        <w:tc>
          <w:tcPr>
            <w:tcW w:w="80" w:type="dxa"/>
            <w:tcBorders/>
            <w:shd w:fill="FFFFFF" w:val="clear"/>
            <w:vAlign w:val="center"/>
          </w:tcPr>
          <w:p>
            <w:pPr>
              <w:pStyle w:val="TableContents"/>
              <w:bidi w:val="0"/>
              <w:spacing w:before="0" w:after="0"/>
              <w:jc w:val="left"/>
            </w:pPr>
            <w:r>
              <w:t> </w:t>
            </w:r>
          </w:p>
        </w:tc>
      </w:tr>
    </w:tbl>
    <w:p>
      <w:pPr>
        <w:pStyle w:val="TextBody"/>
        <w:bidi w:val="0"/>
        <w:spacing w:before="0" w:after="0"/>
        <w:ind w:left="0" w:right="0" w:firstLine="720"/>
        <w:jc w:val="both"/>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pPr>
      <w:r>
        <w:t> </w:t>
      </w:r>
    </w:p>
    <w:p>
      <w:pPr>
        <w:pStyle w:val="TextBody"/>
        <w:bidi w:val="0"/>
        <w:spacing w:before="0" w:after="0"/>
        <w:ind w:left="0" w:right="0" w:firstLine="720"/>
        <w:jc w:val="both"/>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2026</w:t>
      </w:r>
      <w:r>
        <w:rPr>
          <w:rFonts w:ascii="Times New Roman;Times;serif" w:hAnsi="Times New Roman;Times;serif"/>
          <w:sz w:val="20"/>
        </w:rPr>
        <w:t xml:space="preserve">, the Company had $4.7 million of restricted cash included in long-term assets and $7.3 million of restricted cash included in current assets. As of </w:t>
      </w:r>
      <w:r>
        <w:rPr>
          <w:rStyle w:val="Emphasis"/>
          <w:rFonts w:ascii="Times New Roman;Times;serif" w:hAnsi="Times New Roman;Times;serif"/>
          <w:sz w:val="20"/>
        </w:rPr>
        <w:t>March 31, 2026</w:t>
      </w:r>
      <w:r>
        <w:rPr>
          <w:rFonts w:ascii="Times New Roman;Times;serif" w:hAnsi="Times New Roman;Times;serif"/>
          <w:sz w:val="20"/>
        </w:rPr>
        <w:t>, the Company had $3.3 million of restricted cash included in long-term assets and $3.5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AMSC Brazil, through Comtrafo, purchased additional real estate within the </w:t>
      </w:r>
      <w:r>
        <w:rPr>
          <w:rStyle w:val="Emphasis"/>
          <w:rFonts w:ascii="Times New Roman;Times;serif" w:hAnsi="Times New Roman;Times;serif"/>
          <w:sz w:val="20"/>
        </w:rPr>
        <w:t>twelve</w:t>
      </w:r>
      <w:r>
        <w:rPr>
          <w:rFonts w:ascii="Times New Roman;Times;serif" w:hAnsi="Times New Roman;Times;serif"/>
          <w:sz w:val="20"/>
        </w:rPr>
        <w:t xml:space="preserve"> months following the Comtrafo Acquisition Date for 37.2 million Brazilian Real in cash upon successful re-zoning classification of such real estate. </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17.</w:t>
      </w:r>
      <w:r>
        <w:rPr>
          <w:rFonts w:ascii="Times New Roman;Times;serif" w:hAnsi="Times New Roman;Times;serif"/>
          <w:b/>
          <w:sz w:val="20"/>
        </w:rPr>
        <w:t xml:space="preserve"> Business Segments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has identified two operating segments. The Company's operating segments reflect the way in which internally-reported financial information is used to make decisions and allocate resources.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w:t>
      </w:r>
      <w:r>
        <w:rPr>
          <w:rStyle w:val="Emphasis"/>
          <w:rFonts w:ascii="Times New Roman;Times;serif" w:hAnsi="Times New Roman;Times;serif"/>
          <w:sz w:val="20"/>
        </w:rPr>
        <w:t>one</w:t>
      </w:r>
      <w:r>
        <w:rPr>
          <w:rFonts w:ascii="Times New Roman;Times;serif" w:hAnsi="Times New Roman;Times;serif"/>
          <w:sz w:val="20"/>
        </w:rPr>
        <w:t xml:space="preserve"> another and in the compensation of certain employees.</w:t>
      </w:r>
    </w:p>
    <w:p>
      <w:pPr>
        <w:pStyle w:val="TextBody"/>
        <w:bidi w:val="0"/>
        <w:spacing w:before="0" w:after="0"/>
        <w:ind w:left="0" w:right="0" w:firstLine="555"/>
        <w:jc w:val="both"/>
      </w:pPr>
      <w:r>
        <w:t> </w:t>
      </w:r>
    </w:p>
    <w:p>
      <w:pPr>
        <w:pStyle w:val="TextBody"/>
        <w:bidi w:val="0"/>
        <w:spacing w:before="0" w:after="0"/>
        <w:jc w:val="cente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720"/>
        <w:jc w:val="both"/>
      </w:pPr>
      <w:r>
        <w:rPr>
          <w:rFonts w:ascii="Times New Roman;Times;serif" w:hAnsi="Times New Roman;Times;serif"/>
          <w:sz w:val="20"/>
        </w:rPr>
        <w:t>The following tables (i) summarize total sales by segment and (ii) reconcile each segment's sales to their respective segment operating income, including segment operating expenses,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(in thousands):</w:t>
      </w:r>
    </w:p>
    <w:p>
      <w:pPr>
        <w:pStyle w:val="TextBody"/>
        <w:bidi w:val="0"/>
        <w:spacing w:before="0" w:after="0"/>
        <w:ind w:left="0" w:right="0" w:firstLine="720"/>
        <w:jc w:val="both"/>
      </w:pPr>
      <w:r>
        <w:t> </w:t>
      </w:r>
    </w:p>
    <w:tbl>
      <w:tblPr>
        <w:tblW w:w="10205" w:type="dxa"/>
        <w:jc w:val="left"/>
        <w:tblInd w:w="0" w:type="dxa"/>
        <w:tblLayout w:type="fixed"/>
        <w:tblCellMar>
          <w:top w:w="0" w:type="dxa"/>
          <w:left w:w="0" w:type="dxa"/>
          <w:bottom w:w="0" w:type="dxa"/>
          <w:right w:w="0" w:type="dxa"/>
        </w:tblCellMar>
      </w:tblPr>
      <w:tblGrid>
        <w:gridCol w:w="2459"/>
        <w:gridCol w:w="60"/>
        <w:gridCol w:w="130"/>
        <w:gridCol w:w="619"/>
        <w:gridCol w:w="83"/>
        <w:gridCol w:w="62"/>
        <w:gridCol w:w="130"/>
        <w:gridCol w:w="619"/>
        <w:gridCol w:w="62"/>
        <w:gridCol w:w="62"/>
        <w:gridCol w:w="194"/>
        <w:gridCol w:w="846"/>
        <w:gridCol w:w="83"/>
        <w:gridCol w:w="62"/>
        <w:gridCol w:w="130"/>
        <w:gridCol w:w="619"/>
        <w:gridCol w:w="60"/>
        <w:gridCol w:w="60"/>
        <w:gridCol w:w="125"/>
        <w:gridCol w:w="695"/>
        <w:gridCol w:w="80"/>
        <w:gridCol w:w="60"/>
        <w:gridCol w:w="125"/>
        <w:gridCol w:w="590"/>
        <w:gridCol w:w="60"/>
        <w:gridCol w:w="60"/>
        <w:gridCol w:w="194"/>
        <w:gridCol w:w="846"/>
        <w:gridCol w:w="80"/>
        <w:gridCol w:w="60"/>
        <w:gridCol w:w="125"/>
        <w:gridCol w:w="695"/>
        <w:gridCol w:w="70"/>
      </w:tblGrid>
      <w:tr>
        <w:tc>
          <w:tcPr>
            <w:tcW w:w="245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0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 2026</w:t>
            </w:r>
          </w:p>
        </w:tc>
        <w:tc>
          <w:tcPr>
            <w:tcW w:w="70" w:type="dxa"/>
            <w:tcBorders/>
            <w:shd w:fill="FFFFFF" w:val="clear"/>
            <w:vAlign w:val="center"/>
          </w:tcPr>
          <w:p>
            <w:pPr>
              <w:pStyle w:val="TableContents"/>
              <w:bidi w:val="0"/>
              <w:spacing w:before="0" w:after="283"/>
              <w:jc w:val="left"/>
            </w:pPr>
            <w:r>
              <w:t> </w:t>
            </w:r>
          </w:p>
        </w:tc>
      </w:tr>
      <w:tr>
        <w:tc>
          <w:tcPr>
            <w:tcW w:w="245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Grid</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Wind</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Unallocated</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Grid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Unallocated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70" w:type="dxa"/>
            <w:tcBorders/>
            <w:shd w:fill="FFFFFF" w:val="clear"/>
            <w:vAlign w:val="center"/>
          </w:tcPr>
          <w:p>
            <w:pPr>
              <w:pStyle w:val="TableContents"/>
              <w:bidi w:val="0"/>
              <w:spacing w:before="0" w:after="283"/>
              <w:jc w:val="left"/>
            </w:pPr>
            <w:r>
              <w:t> </w:t>
            </w:r>
          </w:p>
        </w:tc>
      </w:tr>
      <w:tr>
        <w:tc>
          <w:tcPr>
            <w:tcW w:w="245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619"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619"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61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r>
      <w:tr>
        <w:tc>
          <w:tcPr>
            <w:tcW w:w="24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pPr>
            <w: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76,667</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17,371</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pPr>
            <w:r>
              <w:t>—</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94,038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188,111</w:t>
            </w:r>
          </w:p>
        </w:tc>
        <w:tc>
          <w:tcPr>
            <w:tcW w:w="70" w:type="dxa"/>
            <w:tcBorders/>
            <w:shd w:fill="FFFFFF" w:val="clear"/>
            <w:vAlign w:val="center"/>
          </w:tcPr>
          <w:p>
            <w:pPr>
              <w:pStyle w:val="TableContents"/>
              <w:bidi w:val="0"/>
              <w:spacing w:before="0" w:after="283"/>
              <w:jc w:val="left"/>
            </w:pPr>
            <w:r>
              <w:t> </w:t>
            </w:r>
          </w:p>
        </w:tc>
      </w:tr>
      <w:tr>
        <w:tc>
          <w:tcPr>
            <w:tcW w:w="245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619"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619"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61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4" w:type="dxa"/>
            <w:tcBorders/>
            <w:shd w:fill="CCEEFF" w:val="clear"/>
            <w:vAlign w:val="center"/>
          </w:tcPr>
          <w:p>
            <w:pPr>
              <w:pStyle w:val="TableContents"/>
              <w:bidi w:val="0"/>
              <w:spacing w:before="0" w:after="283"/>
              <w:jc w:val="left"/>
            </w:pPr>
            <w:r>
              <w:t> </w:t>
            </w:r>
          </w:p>
        </w:tc>
        <w:tc>
          <w:tcPr>
            <w:tcW w:w="84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r>
      <w:tr>
        <w:tc>
          <w:tcPr>
            <w:tcW w:w="24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619"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619"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846"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61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4" w:type="dxa"/>
            <w:tcBorders/>
            <w:shd w:fill="FFFFFF" w:val="clear"/>
            <w:vAlign w:val="center"/>
          </w:tcPr>
          <w:p>
            <w:pPr>
              <w:pStyle w:val="TableContents"/>
              <w:bidi w:val="0"/>
              <w:spacing w:before="0" w:after="283"/>
              <w:jc w:val="left"/>
            </w:pPr>
            <w:r>
              <w:t> </w:t>
            </w:r>
          </w:p>
        </w:tc>
        <w:tc>
          <w:tcPr>
            <w:tcW w:w="84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r>
      <w:tr>
        <w:tc>
          <w:tcPr>
            <w:tcW w:w="24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76,826</w:t>
            </w:r>
          </w:p>
        </w:tc>
        <w:tc>
          <w:tcPr>
            <w:tcW w:w="83"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13,184</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pPr>
            <w: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155,315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172,919</w:t>
            </w:r>
          </w:p>
        </w:tc>
        <w:tc>
          <w:tcPr>
            <w:tcW w:w="70" w:type="dxa"/>
            <w:tcBorders/>
            <w:shd w:fill="CCEEFF" w:val="clear"/>
            <w:vAlign w:val="center"/>
          </w:tcPr>
          <w:p>
            <w:pPr>
              <w:pStyle w:val="TableContents"/>
              <w:bidi w:val="0"/>
              <w:spacing w:before="0" w:after="283"/>
              <w:jc w:val="left"/>
            </w:pPr>
            <w:r>
              <w:t> </w:t>
            </w:r>
          </w:p>
        </w:tc>
      </w:tr>
      <w:tr>
        <w:tc>
          <w:tcPr>
            <w:tcW w:w="24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15,191</w:t>
            </w:r>
          </w:p>
        </w:tc>
        <w:tc>
          <w:tcPr>
            <w:tcW w:w="7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amortization of acquisition related intangibles, and gain (loss) on contingent consideration.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8"/>
        <w:gridCol w:w="60"/>
        <w:gridCol w:w="139"/>
        <w:gridCol w:w="662"/>
        <w:gridCol w:w="67"/>
        <w:gridCol w:w="67"/>
        <w:gridCol w:w="139"/>
        <w:gridCol w:w="662"/>
        <w:gridCol w:w="67"/>
        <w:gridCol w:w="67"/>
        <w:gridCol w:w="337"/>
        <w:gridCol w:w="703"/>
        <w:gridCol w:w="67"/>
        <w:gridCol w:w="67"/>
        <w:gridCol w:w="139"/>
        <w:gridCol w:w="662"/>
        <w:gridCol w:w="60"/>
        <w:gridCol w:w="60"/>
        <w:gridCol w:w="128"/>
        <w:gridCol w:w="713"/>
        <w:gridCol w:w="61"/>
        <w:gridCol w:w="61"/>
        <w:gridCol w:w="128"/>
        <w:gridCol w:w="605"/>
        <w:gridCol w:w="61"/>
        <w:gridCol w:w="61"/>
        <w:gridCol w:w="337"/>
        <w:gridCol w:w="703"/>
        <w:gridCol w:w="61"/>
        <w:gridCol w:w="61"/>
        <w:gridCol w:w="128"/>
        <w:gridCol w:w="713"/>
        <w:gridCol w:w="71"/>
      </w:tblGrid>
      <w:tr>
        <w:tc>
          <w:tcPr>
            <w:tcW w:w="228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 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 2025</w:t>
            </w:r>
          </w:p>
        </w:tc>
        <w:tc>
          <w:tcPr>
            <w:tcW w:w="71" w:type="dxa"/>
            <w:tcBorders/>
            <w:shd w:fill="FFFFFF" w:val="clear"/>
            <w:vAlign w:val="center"/>
          </w:tcPr>
          <w:p>
            <w:pPr>
              <w:pStyle w:val="TableContents"/>
              <w:bidi w:val="0"/>
              <w:spacing w:before="0" w:after="283"/>
              <w:jc w:val="left"/>
            </w:pPr>
            <w:r>
              <w:t> </w:t>
            </w:r>
          </w:p>
        </w:tc>
      </w:tr>
      <w:tr>
        <w:tc>
          <w:tcPr>
            <w:tcW w:w="228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Grid</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Wind</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Unallocated</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Grid</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Wind</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Unallocated</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Total</w:t>
            </w:r>
          </w:p>
        </w:tc>
        <w:tc>
          <w:tcPr>
            <w:tcW w:w="71" w:type="dxa"/>
            <w:tcBorders/>
            <w:shd w:fill="FFFFFF" w:val="clear"/>
            <w:vAlign w:val="center"/>
          </w:tcPr>
          <w:p>
            <w:pPr>
              <w:pStyle w:val="TableContents"/>
              <w:bidi w:val="0"/>
              <w:spacing w:before="0" w:after="283"/>
              <w:jc w:val="left"/>
            </w:pPr>
            <w:r>
              <w:t> </w:t>
            </w:r>
          </w:p>
        </w:tc>
      </w:tr>
      <w:tr>
        <w:tc>
          <w:tcPr>
            <w:tcW w:w="22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337" w:type="dxa"/>
            <w:tcBorders/>
            <w:shd w:fill="CCEEFF" w:val="clear"/>
            <w:vAlign w:val="center"/>
          </w:tcPr>
          <w:p>
            <w:pPr>
              <w:pStyle w:val="TableContents"/>
              <w:bidi w:val="0"/>
              <w:spacing w:before="0" w:after="283"/>
              <w:jc w:val="left"/>
            </w:pPr>
            <w:r>
              <w:t> </w:t>
            </w:r>
          </w:p>
        </w:tc>
        <w:tc>
          <w:tcPr>
            <w:tcW w:w="703"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337" w:type="dxa"/>
            <w:tcBorders/>
            <w:shd w:fill="CCEEFF" w:val="clear"/>
            <w:vAlign w:val="center"/>
          </w:tcPr>
          <w:p>
            <w:pPr>
              <w:pStyle w:val="TableContents"/>
              <w:bidi w:val="0"/>
              <w:spacing w:before="0" w:after="283"/>
              <w:jc w:val="left"/>
            </w:pPr>
            <w:r>
              <w:t> </w:t>
            </w:r>
          </w:p>
        </w:tc>
        <w:tc>
          <w:tcPr>
            <w:tcW w:w="703"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r>
      <w:tr>
        <w:tc>
          <w:tcPr>
            <w:tcW w:w="22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pPr>
            <w: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3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FFFFFF" w:val="clear"/>
            <w:vAlign w:val="center"/>
          </w:tcPr>
          <w:p>
            <w:pPr>
              <w:pStyle w:val="TableContents"/>
              <w:bidi w:val="0"/>
              <w:spacing w:before="0" w:after="283"/>
              <w:ind w:left="0" w:right="0" w:hanging="0"/>
              <w:jc w:val="right"/>
            </w:pPr>
            <w:r>
              <w:t>—</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3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FFFFFF" w:val="clear"/>
            <w:vAlign w:val="center"/>
          </w:tcPr>
          <w:p>
            <w:pPr>
              <w:pStyle w:val="TableContents"/>
              <w:bidi w:val="0"/>
              <w:spacing w:before="0" w:after="283"/>
              <w:ind w:left="0" w:right="0" w:hanging="0"/>
              <w:jc w:val="right"/>
            </w:pPr>
            <w:r>
              <w:t>—</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138,220</w:t>
            </w:r>
          </w:p>
        </w:tc>
        <w:tc>
          <w:tcPr>
            <w:tcW w:w="71" w:type="dxa"/>
            <w:tcBorders/>
            <w:shd w:fill="FFFFFF" w:val="clear"/>
            <w:vAlign w:val="center"/>
          </w:tcPr>
          <w:p>
            <w:pPr>
              <w:pStyle w:val="TableContents"/>
              <w:bidi w:val="0"/>
              <w:spacing w:before="0" w:after="283"/>
              <w:jc w:val="left"/>
            </w:pPr>
            <w:r>
              <w:t> </w:t>
            </w:r>
          </w:p>
        </w:tc>
      </w:tr>
      <w:tr>
        <w:tc>
          <w:tcPr>
            <w:tcW w:w="228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337" w:type="dxa"/>
            <w:tcBorders/>
            <w:shd w:fill="CCEEFF" w:val="clear"/>
            <w:vAlign w:val="center"/>
          </w:tcPr>
          <w:p>
            <w:pPr>
              <w:pStyle w:val="TableContents"/>
              <w:bidi w:val="0"/>
              <w:spacing w:before="0" w:after="283"/>
              <w:jc w:val="left"/>
            </w:pPr>
            <w:r>
              <w:t> </w:t>
            </w:r>
          </w:p>
        </w:tc>
        <w:tc>
          <w:tcPr>
            <w:tcW w:w="703"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jc w:val="left"/>
            </w:pPr>
            <w:r>
              <w:t> </w:t>
            </w:r>
          </w:p>
        </w:tc>
        <w:tc>
          <w:tcPr>
            <w:tcW w:w="66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337" w:type="dxa"/>
            <w:tcBorders/>
            <w:shd w:fill="CCEEFF" w:val="clear"/>
            <w:vAlign w:val="center"/>
          </w:tcPr>
          <w:p>
            <w:pPr>
              <w:pStyle w:val="TableContents"/>
              <w:bidi w:val="0"/>
              <w:spacing w:before="0" w:after="283"/>
              <w:jc w:val="left"/>
            </w:pPr>
            <w:r>
              <w:t> </w:t>
            </w:r>
          </w:p>
        </w:tc>
        <w:tc>
          <w:tcPr>
            <w:tcW w:w="703"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jc w:val="left"/>
            </w:pPr>
            <w:r>
              <w:t> </w:t>
            </w:r>
          </w:p>
        </w:tc>
        <w:tc>
          <w:tcPr>
            <w:tcW w:w="713"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r>
      <w:tr>
        <w:tc>
          <w:tcPr>
            <w:tcW w:w="22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2"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2"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337" w:type="dxa"/>
            <w:tcBorders/>
            <w:shd w:fill="FFFFFF" w:val="clear"/>
            <w:vAlign w:val="center"/>
          </w:tcPr>
          <w:p>
            <w:pPr>
              <w:pStyle w:val="TableContents"/>
              <w:bidi w:val="0"/>
              <w:spacing w:before="0" w:after="283"/>
              <w:jc w:val="left"/>
            </w:pPr>
            <w:r>
              <w:t> </w:t>
            </w:r>
          </w:p>
        </w:tc>
        <w:tc>
          <w:tcPr>
            <w:tcW w:w="703"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713"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605"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337" w:type="dxa"/>
            <w:tcBorders/>
            <w:shd w:fill="FFFFFF" w:val="clear"/>
            <w:vAlign w:val="center"/>
          </w:tcPr>
          <w:p>
            <w:pPr>
              <w:pStyle w:val="TableContents"/>
              <w:bidi w:val="0"/>
              <w:spacing w:before="0" w:after="283"/>
              <w:jc w:val="left"/>
            </w:pPr>
            <w:r>
              <w:t> </w:t>
            </w:r>
          </w:p>
        </w:tc>
        <w:tc>
          <w:tcPr>
            <w:tcW w:w="703"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713" w:type="dxa"/>
            <w:tcBorders/>
            <w:shd w:fill="FFFFFF" w:val="clear"/>
            <w:vAlign w:val="center"/>
          </w:tcPr>
          <w:p>
            <w:pPr>
              <w:pStyle w:val="TableContents"/>
              <w:bidi w:val="0"/>
              <w:spacing w:before="0" w:after="283"/>
              <w:jc w:val="left"/>
            </w:pPr>
            <w:r>
              <w:t> </w:t>
            </w:r>
          </w:p>
        </w:tc>
        <w:tc>
          <w:tcPr>
            <w:tcW w:w="71" w:type="dxa"/>
            <w:tcBorders/>
            <w:shd w:fill="FFFFFF" w:val="clear"/>
            <w:vAlign w:val="center"/>
          </w:tcPr>
          <w:p>
            <w:pPr>
              <w:pStyle w:val="TableContents"/>
              <w:bidi w:val="0"/>
              <w:spacing w:before="0" w:after="283"/>
              <w:jc w:val="left"/>
            </w:pPr>
            <w:r>
              <w:t> </w:t>
            </w:r>
          </w:p>
        </w:tc>
      </w:tr>
      <w:tr>
        <w:tc>
          <w:tcPr>
            <w:tcW w:w="22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pPr>
            <w: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53,064</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9,833</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7"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108,994</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20,616</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129,610</w:t>
            </w:r>
          </w:p>
        </w:tc>
        <w:tc>
          <w:tcPr>
            <w:tcW w:w="71" w:type="dxa"/>
            <w:tcBorders/>
            <w:shd w:fill="CCEEFF" w:val="clear"/>
            <w:vAlign w:val="center"/>
          </w:tcPr>
          <w:p>
            <w:pPr>
              <w:pStyle w:val="TableContents"/>
              <w:bidi w:val="0"/>
              <w:spacing w:before="0" w:after="283"/>
              <w:jc w:val="left"/>
            </w:pPr>
            <w:r>
              <w:t> </w:t>
            </w:r>
          </w:p>
        </w:tc>
      </w:tr>
      <w:tr>
        <w:tc>
          <w:tcPr>
            <w:tcW w:w="22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7"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5,435</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p>
        </w:tc>
        <w:tc>
          <w:tcPr>
            <w:tcW w:w="71"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amortization of acquisition related intangibles, and gain/loss on contingent consideration.</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Unallocated corporate expenses included a net gain on contingent consideration of $1.3 million and $9.4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respectively.</w:t>
      </w:r>
    </w:p>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The reconciliation of segment operating income to consolidated income before income taxes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is as follows (in thousands):</w:t>
      </w:r>
    </w:p>
    <w:p>
      <w:pPr>
        <w:pStyle w:val="TextBody"/>
        <w:bidi w:val="0"/>
        <w:spacing w:before="0" w:after="0"/>
        <w:ind w:left="0" w:right="0" w:firstLine="720"/>
        <w:jc w:val="both"/>
      </w:pPr>
      <w:r>
        <w:t> </w:t>
      </w:r>
    </w:p>
    <w:tbl>
      <w:tblPr>
        <w:tblW w:w="8840" w:type="dxa"/>
        <w:jc w:val="left"/>
        <w:tblInd w:w="0" w:type="dxa"/>
        <w:tblLayout w:type="fixed"/>
        <w:tblCellMar>
          <w:top w:w="0" w:type="dxa"/>
          <w:left w:w="0" w:type="dxa"/>
          <w:bottom w:w="0" w:type="dxa"/>
          <w:right w:w="0" w:type="dxa"/>
        </w:tblCellMar>
      </w:tblPr>
      <w:tblGrid>
        <w:gridCol w:w="2825"/>
        <w:gridCol w:w="60"/>
        <w:gridCol w:w="273"/>
        <w:gridCol w:w="1060"/>
        <w:gridCol w:w="175"/>
        <w:gridCol w:w="131"/>
        <w:gridCol w:w="273"/>
        <w:gridCol w:w="1060"/>
        <w:gridCol w:w="80"/>
        <w:gridCol w:w="60"/>
        <w:gridCol w:w="220"/>
        <w:gridCol w:w="1039"/>
        <w:gridCol w:w="140"/>
        <w:gridCol w:w="105"/>
        <w:gridCol w:w="220"/>
        <w:gridCol w:w="1039"/>
        <w:gridCol w:w="80"/>
      </w:tblGrid>
      <w:tr>
        <w:tc>
          <w:tcPr>
            <w:tcW w:w="28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pPr>
            <w:r>
              <w:t> </w:t>
            </w:r>
          </w:p>
        </w:tc>
      </w:tr>
      <w:tr>
        <w:tc>
          <w:tcPr>
            <w:tcW w:w="28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40" w:type="dxa"/>
            <w:tcBorders/>
            <w:shd w:fill="FFFFFF" w:val="clear"/>
            <w:vAlign w:val="center"/>
          </w:tcPr>
          <w:p>
            <w:pPr>
              <w:pStyle w:val="TableContents"/>
              <w:bidi w:val="0"/>
              <w:spacing w:before="0" w:after="283"/>
              <w:jc w:val="left"/>
            </w:pPr>
            <w:r>
              <w:t> </w:t>
            </w:r>
          </w:p>
        </w:tc>
        <w:tc>
          <w:tcPr>
            <w:tcW w:w="105" w:type="dxa"/>
            <w:tcBorders/>
            <w:shd w:fill="FFFFFF" w:val="clear"/>
            <w:vAlign w:val="center"/>
          </w:tcPr>
          <w:p>
            <w:pPr>
              <w:pStyle w:val="TableContents"/>
              <w:bidi w:val="0"/>
              <w:spacing w:before="0" w:after="283"/>
              <w:ind w:left="0" w:right="0" w:hanging="0"/>
              <w:jc w:val="left"/>
            </w:pPr>
            <w: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28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3" w:type="dxa"/>
            <w:tcBorders/>
            <w:shd w:fill="FFFFFF" w:val="clear"/>
            <w:vAlign w:val="center"/>
          </w:tcPr>
          <w:p>
            <w:pPr>
              <w:pStyle w:val="TableContents"/>
              <w:bidi w:val="0"/>
              <w:spacing w:before="0" w:after="283"/>
              <w:jc w:val="left"/>
            </w:pPr>
            <w:r>
              <w:t> </w:t>
            </w:r>
          </w:p>
        </w:tc>
        <w:tc>
          <w:tcPr>
            <w:tcW w:w="10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273" w:type="dxa"/>
            <w:tcBorders/>
            <w:shd w:fill="FFFFFF" w:val="clear"/>
            <w:vAlign w:val="center"/>
          </w:tcPr>
          <w:p>
            <w:pPr>
              <w:pStyle w:val="TableContents"/>
              <w:bidi w:val="0"/>
              <w:spacing w:before="0" w:after="283"/>
              <w:jc w:val="left"/>
            </w:pPr>
            <w:r>
              <w:t> </w:t>
            </w:r>
          </w:p>
        </w:tc>
        <w:tc>
          <w:tcPr>
            <w:tcW w:w="106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1039"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105"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1039"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ind w:left="0" w:right="0" w:hanging="0"/>
              <w:jc w:val="left"/>
            </w:pPr>
            <w: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w:t>
            </w:r>
          </w:p>
        </w:tc>
        <w:tc>
          <w:tcPr>
            <w:tcW w:w="175" w:type="dxa"/>
            <w:tcBorders/>
            <w:shd w:fill="CCEEFF" w:val="clear"/>
            <w:vAlign w:val="center"/>
          </w:tcPr>
          <w:p>
            <w:pPr>
              <w:pStyle w:val="TableContents"/>
              <w:bidi w:val="0"/>
              <w:spacing w:before="0" w:after="283"/>
              <w:jc w:val="left"/>
            </w:pPr>
            <w:r>
              <w:t> </w:t>
            </w:r>
          </w:p>
        </w:tc>
        <w:tc>
          <w:tcPr>
            <w:tcW w:w="131" w:type="dxa"/>
            <w:tcBorders/>
            <w:shd w:fill="CCEEFF" w:val="clear"/>
            <w:vAlign w:val="center"/>
          </w:tcPr>
          <w:p>
            <w:pPr>
              <w:pStyle w:val="TableContents"/>
              <w:bidi w:val="0"/>
              <w:spacing w:before="0" w:after="283"/>
              <w:ind w:left="0" w:right="0" w:hanging="0"/>
              <w:jc w:val="left"/>
            </w:pPr>
            <w: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15,191</w:t>
            </w:r>
          </w:p>
        </w:tc>
        <w:tc>
          <w:tcPr>
            <w:tcW w:w="140" w:type="dxa"/>
            <w:tcBorders/>
            <w:shd w:fill="CCEEFF" w:val="clear"/>
            <w:vAlign w:val="center"/>
          </w:tcPr>
          <w:p>
            <w:pPr>
              <w:pStyle w:val="TableContents"/>
              <w:bidi w:val="0"/>
              <w:spacing w:before="0" w:after="283"/>
              <w:jc w:val="left"/>
            </w:pPr>
            <w:r>
              <w:t> </w:t>
            </w:r>
          </w:p>
        </w:tc>
        <w:tc>
          <w:tcPr>
            <w:tcW w:w="105" w:type="dxa"/>
            <w:tcBorders/>
            <w:shd w:fill="CCEEFF" w:val="clear"/>
            <w:vAlign w:val="center"/>
          </w:tcPr>
          <w:p>
            <w:pPr>
              <w:pStyle w:val="TableContents"/>
              <w:bidi w:val="0"/>
              <w:spacing w:before="0" w:after="283"/>
              <w:ind w:left="0" w:right="0" w:hanging="0"/>
              <w:jc w:val="left"/>
            </w:pPr>
            <w: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p>
        </w:tc>
        <w:tc>
          <w:tcPr>
            <w:tcW w:w="80" w:type="dxa"/>
            <w:tcBorders/>
            <w:shd w:fill="CCEEFF" w:val="clear"/>
            <w:vAlign w:val="center"/>
          </w:tcPr>
          <w:p>
            <w:pPr>
              <w:pStyle w:val="TableContents"/>
              <w:bidi w:val="0"/>
              <w:spacing w:before="0" w:after="283"/>
              <w:jc w:val="left"/>
            </w:pPr>
            <w:r>
              <w:t> </w:t>
            </w:r>
          </w:p>
        </w:tc>
      </w:tr>
      <w:t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pPr>
            <w:r>
              <w:t> </w:t>
            </w:r>
          </w:p>
        </w:tc>
        <w:tc>
          <w:tcPr>
            <w:tcW w:w="273" w:type="dxa"/>
            <w:tcBorders/>
            <w:shd w:fill="FFFFFF" w:val="clear"/>
            <w:vAlign w:val="center"/>
          </w:tcPr>
          <w:p>
            <w:pPr>
              <w:pStyle w:val="TableContents"/>
              <w:bidi w:val="0"/>
              <w:spacing w:before="0" w:after="283"/>
              <w:ind w:left="0" w:right="0" w:hanging="0"/>
              <w:jc w:val="left"/>
            </w:pPr>
            <w: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jc w:val="left"/>
            </w:pPr>
            <w:r>
              <w:t> </w:t>
            </w:r>
          </w:p>
        </w:tc>
        <w:tc>
          <w:tcPr>
            <w:tcW w:w="273" w:type="dxa"/>
            <w:tcBorders/>
            <w:shd w:fill="FFFFFF" w:val="clear"/>
            <w:vAlign w:val="center"/>
          </w:tcPr>
          <w:p>
            <w:pPr>
              <w:pStyle w:val="TableContents"/>
              <w:bidi w:val="0"/>
              <w:spacing w:before="0" w:after="283"/>
              <w:ind w:left="0" w:right="0" w:hanging="0"/>
              <w:jc w:val="left"/>
            </w:pPr>
            <w: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2,967</w:t>
            </w:r>
          </w:p>
        </w:tc>
        <w:tc>
          <w:tcPr>
            <w:tcW w:w="140" w:type="dxa"/>
            <w:tcBorders/>
            <w:shd w:fill="FFFFFF" w:val="clear"/>
            <w:vAlign w:val="center"/>
          </w:tcPr>
          <w:p>
            <w:pPr>
              <w:pStyle w:val="TableContents"/>
              <w:bidi w:val="0"/>
              <w:spacing w:before="0" w:after="283"/>
              <w:jc w:val="left"/>
            </w:pPr>
            <w:r>
              <w:t> </w:t>
            </w:r>
          </w:p>
        </w:tc>
        <w:tc>
          <w:tcPr>
            <w:tcW w:w="105"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80" w:type="dxa"/>
            <w:tcBorders/>
            <w:shd w:fill="FFFFFF" w:val="clear"/>
            <w:vAlign w:val="center"/>
          </w:tcPr>
          <w:p>
            <w:pPr>
              <w:pStyle w:val="TableContents"/>
              <w:bidi w:val="0"/>
              <w:spacing w:before="0" w:after="283"/>
              <w:jc w:val="left"/>
            </w:pPr>
            <w:r>
              <w:t> </w:t>
            </w:r>
          </w:p>
        </w:tc>
      </w:tr>
      <w:t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pPr>
            <w: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pPr>
            <w: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pPr>
            <w: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ind w:left="0" w:right="0" w:hanging="0"/>
              <w:jc w:val="left"/>
            </w:pPr>
            <w: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p>
        </w:tc>
        <w:tc>
          <w:tcPr>
            <w:tcW w:w="175" w:type="dxa"/>
            <w:tcBorders/>
            <w:shd w:fill="FFFFFF" w:val="clear"/>
            <w:vAlign w:val="center"/>
          </w:tcPr>
          <w:p>
            <w:pPr>
              <w:pStyle w:val="TableContents"/>
              <w:bidi w:val="0"/>
              <w:spacing w:before="0" w:after="283"/>
              <w:jc w:val="left"/>
            </w:pPr>
            <w:r>
              <w:t> </w:t>
            </w:r>
          </w:p>
        </w:tc>
        <w:tc>
          <w:tcPr>
            <w:tcW w:w="131" w:type="dxa"/>
            <w:tcBorders/>
            <w:shd w:fill="FFFFFF" w:val="clear"/>
            <w:vAlign w:val="center"/>
          </w:tcPr>
          <w:p>
            <w:pPr>
              <w:pStyle w:val="TableContents"/>
              <w:bidi w:val="0"/>
              <w:spacing w:before="0" w:after="283"/>
              <w:ind w:left="0" w:right="0" w:hanging="0"/>
              <w:jc w:val="left"/>
            </w:pPr>
            <w: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17,146</w:t>
            </w:r>
          </w:p>
        </w:tc>
        <w:tc>
          <w:tcPr>
            <w:tcW w:w="140" w:type="dxa"/>
            <w:tcBorders/>
            <w:shd w:fill="FFFFFF" w:val="clear"/>
            <w:vAlign w:val="center"/>
          </w:tcPr>
          <w:p>
            <w:pPr>
              <w:pStyle w:val="TableContents"/>
              <w:bidi w:val="0"/>
              <w:spacing w:before="0" w:after="283"/>
              <w:jc w:val="left"/>
            </w:pPr>
            <w:r>
              <w:t> </w:t>
            </w:r>
          </w:p>
        </w:tc>
        <w:tc>
          <w:tcPr>
            <w:tcW w:w="105" w:type="dxa"/>
            <w:tcBorders/>
            <w:shd w:fill="FFFFFF" w:val="clear"/>
            <w:vAlign w:val="center"/>
          </w:tcPr>
          <w:p>
            <w:pPr>
              <w:pStyle w:val="TableContents"/>
              <w:bidi w:val="0"/>
              <w:spacing w:before="0" w:after="283"/>
              <w:ind w:left="0" w:right="0" w:hanging="0"/>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11,790</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Depreciation and amortization expense by segment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is as follows (in thousands):</w:t>
      </w:r>
    </w:p>
    <w:p>
      <w:pPr>
        <w:pStyle w:val="TextBody"/>
        <w:bidi w:val="0"/>
        <w:spacing w:before="0" w:after="0"/>
        <w:ind w:left="0" w:right="0" w:firstLine="720"/>
        <w:jc w:val="both"/>
      </w:pPr>
      <w:r>
        <w:t> </w:t>
      </w:r>
    </w:p>
    <w:tbl>
      <w:tblPr>
        <w:tblW w:w="6442" w:type="dxa"/>
        <w:jc w:val="left"/>
        <w:tblInd w:w="0" w:type="dxa"/>
        <w:tblLayout w:type="fixed"/>
        <w:tblCellMar>
          <w:top w:w="0" w:type="dxa"/>
          <w:left w:w="0" w:type="dxa"/>
          <w:bottom w:w="0" w:type="dxa"/>
          <w:right w:w="0" w:type="dxa"/>
        </w:tblCellMar>
      </w:tblPr>
      <w:tblGrid>
        <w:gridCol w:w="470"/>
        <w:gridCol w:w="60"/>
        <w:gridCol w:w="277"/>
        <w:gridCol w:w="1076"/>
        <w:gridCol w:w="133"/>
        <w:gridCol w:w="133"/>
        <w:gridCol w:w="277"/>
        <w:gridCol w:w="1076"/>
        <w:gridCol w:w="60"/>
        <w:gridCol w:w="60"/>
        <w:gridCol w:w="257"/>
        <w:gridCol w:w="1000"/>
        <w:gridCol w:w="123"/>
        <w:gridCol w:w="123"/>
        <w:gridCol w:w="257"/>
        <w:gridCol w:w="1000"/>
        <w:gridCol w:w="60"/>
      </w:tblGrid>
      <w:tr>
        <w:tc>
          <w:tcPr>
            <w:tcW w:w="4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4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4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1076"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107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7" w:type="dxa"/>
            <w:tcBorders/>
            <w:shd w:fill="FFFFFF" w:val="clear"/>
            <w:vAlign w:val="center"/>
          </w:tcPr>
          <w:p>
            <w:pPr>
              <w:pStyle w:val="TableContents"/>
              <w:bidi w:val="0"/>
              <w:spacing w:before="0" w:after="283"/>
              <w:jc w:val="left"/>
            </w:pPr>
            <w:r>
              <w:t> </w:t>
            </w:r>
          </w:p>
        </w:tc>
        <w:tc>
          <w:tcPr>
            <w:tcW w:w="1000"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257" w:type="dxa"/>
            <w:tcBorders/>
            <w:shd w:fill="FFFFFF" w:val="clear"/>
            <w:vAlign w:val="center"/>
          </w:tcPr>
          <w:p>
            <w:pPr>
              <w:pStyle w:val="TableContents"/>
              <w:bidi w:val="0"/>
              <w:spacing w:before="0" w:after="283"/>
              <w:jc w:val="left"/>
            </w:pPr>
            <w:r>
              <w:t> </w:t>
            </w:r>
          </w:p>
        </w:tc>
        <w:tc>
          <w:tcPr>
            <w:tcW w:w="10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5,122</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w:t>
            </w:r>
          </w:p>
        </w:tc>
        <w:tc>
          <w:tcPr>
            <w:tcW w:w="60" w:type="dxa"/>
            <w:tcBorders/>
            <w:shd w:fill="CCEEFF" w:val="clear"/>
            <w:vAlign w:val="center"/>
          </w:tcPr>
          <w:p>
            <w:pPr>
              <w:pStyle w:val="TableContents"/>
              <w:bidi w:val="0"/>
              <w:spacing w:before="0" w:after="283"/>
              <w:jc w:val="left"/>
            </w:pPr>
            <w:r>
              <w:t> </w:t>
            </w:r>
          </w:p>
        </w:tc>
      </w:tr>
      <w:tr>
        <w:tc>
          <w:tcPr>
            <w:tcW w:w="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23"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pPr>
            <w:r>
              <w:t> </w:t>
            </w:r>
          </w:p>
        </w:tc>
      </w:tr>
      <w:t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income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income (loss).</w:t>
      </w:r>
    </w:p>
    <w:p>
      <w:pPr>
        <w:pStyle w:val="TextBody"/>
        <w:bidi w:val="0"/>
        <w:spacing w:before="0" w:after="0"/>
        <w:ind w:left="0" w:right="0" w:firstLine="555"/>
        <w:jc w:val="both"/>
      </w:pPr>
      <w:r>
        <w:t> </w:t>
      </w:r>
    </w:p>
    <w:p>
      <w:pPr>
        <w:pStyle w:val="TextBody"/>
        <w:bidi w:val="0"/>
        <w:spacing w:before="0" w:after="0"/>
        <w:ind w:left="0" w:right="0" w:firstLine="720"/>
        <w:jc w:val="both"/>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September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are as follows (in thousands):</w:t>
      </w:r>
    </w:p>
    <w:p>
      <w:pPr>
        <w:pStyle w:val="TextBody"/>
        <w:bidi w:val="0"/>
        <w:spacing w:before="0" w:after="0"/>
        <w:ind w:left="0" w:right="0" w:firstLine="720"/>
        <w:jc w:val="both"/>
      </w:pPr>
      <w:r>
        <w:t> </w:t>
      </w:r>
    </w:p>
    <w:tbl>
      <w:tblPr>
        <w:tblW w:w="4573" w:type="dxa"/>
        <w:jc w:val="left"/>
        <w:tblInd w:w="0" w:type="dxa"/>
        <w:tblLayout w:type="fixed"/>
        <w:tblCellMar>
          <w:top w:w="0" w:type="dxa"/>
          <w:left w:w="0" w:type="dxa"/>
          <w:bottom w:w="0" w:type="dxa"/>
          <w:right w:w="0" w:type="dxa"/>
        </w:tblCellMar>
      </w:tblPr>
      <w:tblGrid>
        <w:gridCol w:w="1340"/>
        <w:gridCol w:w="60"/>
        <w:gridCol w:w="251"/>
        <w:gridCol w:w="1403"/>
        <w:gridCol w:w="60"/>
        <w:gridCol w:w="60"/>
        <w:gridCol w:w="204"/>
        <w:gridCol w:w="1135"/>
        <w:gridCol w:w="60"/>
      </w:tblGrid>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pPr>
            <w:r>
              <w:t> </w:t>
            </w:r>
          </w:p>
        </w:tc>
      </w:tr>
      <w:t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pPr>
            <w:r>
              <w:t>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577,473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574,195</w:t>
            </w:r>
          </w:p>
        </w:tc>
        <w:tc>
          <w:tcPr>
            <w:tcW w:w="60" w:type="dxa"/>
            <w:tcBorders/>
            <w:shd w:fill="CCEEFF" w:val="cle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pPr>
            <w:r>
              <w:t> </w:t>
            </w:r>
          </w:p>
        </w:tc>
        <w:tc>
          <w:tcPr>
            <w:tcW w:w="251" w:type="dxa"/>
            <w:tcBorders/>
            <w:shd w:fill="FFFFFF" w:val="clear"/>
            <w:vAlign w:val="center"/>
          </w:tcPr>
          <w:p>
            <w:pPr>
              <w:pStyle w:val="TableContents"/>
              <w:bidi w:val="0"/>
              <w:spacing w:before="0" w:after="283"/>
              <w:jc w:val="left"/>
            </w:pPr>
            <w:r>
              <w:t> </w:t>
            </w:r>
          </w:p>
        </w:tc>
        <w:tc>
          <w:tcPr>
            <w:tcW w:w="14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17,572</w:t>
            </w:r>
          </w:p>
        </w:tc>
        <w:tc>
          <w:tcPr>
            <w:tcW w:w="60" w:type="dxa"/>
            <w:tcBorders/>
            <w:shd w:fill="FFFFFF" w:val="clear"/>
            <w:vAlign w:val="center"/>
          </w:tcPr>
          <w:p>
            <w:pPr>
              <w:pStyle w:val="TableContents"/>
              <w:bidi w:val="0"/>
              <w:spacing w:before="0" w:after="283"/>
              <w:ind w:left="0" w:right="0" w:hanging="0"/>
              <w:jc w:val="left"/>
            </w:pPr>
            <w:r>
              <w:t> </w:t>
            </w:r>
          </w:p>
        </w:tc>
      </w:tr>
      <w:t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0"/>
              <w:ind w:left="0" w:right="0" w:hanging="0"/>
              <w:jc w:val="left"/>
            </w:pPr>
            <w: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4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182,019</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147,714</w:t>
            </w:r>
          </w:p>
        </w:tc>
        <w:tc>
          <w:tcPr>
            <w:tcW w:w="60" w:type="dxa"/>
            <w:tcBorders/>
            <w:shd w:fill="CCEEFF" w:val="clear"/>
            <w:vAlign w:val="center"/>
          </w:tcPr>
          <w:p>
            <w:pPr>
              <w:pStyle w:val="TableContents"/>
              <w:bidi w:val="0"/>
              <w:spacing w:before="0" w:after="0"/>
              <w:jc w:val="left"/>
            </w:pPr>
            <w:r>
              <w:t> </w:t>
            </w:r>
          </w:p>
        </w:tc>
      </w:tr>
      <w:t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774,660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739,481</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18.</w:t>
      </w:r>
      <w:r>
        <w:rPr>
          <w:rFonts w:ascii="Times New Roman;Times;serif" w:hAnsi="Times New Roman;Times;serif"/>
          <w:b/>
          <w:sz w:val="20"/>
        </w:rPr>
        <w:t xml:space="preserve"> Recent Accounting Pronouncements</w:t>
      </w:r>
    </w:p>
    <w:p>
      <w:pPr>
        <w:pStyle w:val="TextBody"/>
        <w:bidi w:val="0"/>
        <w:spacing w:before="0" w:after="0"/>
        <w:ind w:left="0" w:right="0" w:hanging="0"/>
        <w:jc w:val="left"/>
      </w:pPr>
      <w:r>
        <w:t> </w:t>
      </w:r>
    </w:p>
    <w:p>
      <w:pPr>
        <w:pStyle w:val="TextBody"/>
        <w:bidi w:val="0"/>
        <w:spacing w:before="0" w:after="0"/>
        <w:ind w:left="160" w:right="0" w:firstLine="540"/>
        <w:jc w:val="both"/>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w:t>
      </w:r>
      <w:r>
        <w:rPr>
          <w:rFonts w:ascii="Times New Roman" w:hAnsi="Times New Roman"/>
          <w:i/>
          <w:caps w:val="false"/>
          <w:smallCaps w:val="false"/>
          <w:sz w:val="20"/>
        </w:rPr>
        <w:t>,</w:t>
      </w:r>
      <w:r>
        <w:rPr>
          <w:rFonts w:ascii="Times New Roman" w:hAnsi="Times New Roman"/>
          <w:caps w:val="false"/>
          <w:smallCaps w:val="false"/>
          <w:sz w:val="20"/>
        </w:rPr>
        <w:t> the FASB issued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The amendments in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address investor requests for more disclosure of disaggregated financial reporting information about expenses presented in the income statement. Following the release of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in </w:t>
      </w:r>
      <w:r>
        <w:rPr>
          <w:rStyle w:val="Emphasis"/>
          <w:rFonts w:ascii="Times New Roman" w:hAnsi="Times New Roman"/>
          <w:caps w:val="false"/>
          <w:smallCaps w:val="false"/>
          <w:sz w:val="20"/>
        </w:rPr>
        <w:t xml:space="preserve"> November 2024</w:t>
      </w:r>
      <w:r>
        <w:rPr>
          <w:rFonts w:ascii="Times New Roman" w:hAnsi="Times New Roman"/>
          <w:i/>
          <w:caps w:val="false"/>
          <w:smallCaps w:val="false"/>
          <w:sz w:val="20"/>
        </w:rPr>
        <w:t>,</w:t>
      </w:r>
      <w:r>
        <w:rPr>
          <w:rFonts w:ascii="Times New Roman" w:hAnsi="Times New Roman"/>
          <w:caps w:val="false"/>
          <w:smallCaps w:val="false"/>
          <w:sz w:val="20"/>
        </w:rPr>
        <w:t> the effective date will be annual reporting periods beginning after </w:t>
      </w:r>
      <w:r>
        <w:rPr>
          <w:rStyle w:val="Emphasis"/>
          <w:rFonts w:ascii="Times New Roman" w:hAnsi="Times New Roman"/>
          <w:caps w:val="false"/>
          <w:smallCaps w:val="false"/>
          <w:sz w:val="20"/>
        </w:rPr>
        <w:t xml:space="preserve"> December 15, 2026</w:t>
      </w:r>
      <w:r>
        <w:rPr>
          <w:rFonts w:ascii="Times New Roman" w:hAnsi="Times New Roman"/>
          <w:i/>
          <w:caps w:val="false"/>
          <w:smallCaps w:val="false"/>
          <w:sz w:val="20"/>
        </w:rPr>
        <w:t>.</w:t>
      </w:r>
      <w:r>
        <w:rPr>
          <w:rFonts w:ascii="Times New Roman" w:hAnsi="Times New Roman"/>
          <w:caps w:val="false"/>
          <w:smallCaps w:val="false"/>
          <w:sz w:val="20"/>
        </w:rPr>
        <w:t> The Company is evaluating the impact on its consolidated financial statements.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160" w:right="0" w:firstLine="54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—Internal-Use Software. The amendments 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remove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Following the release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effective date will be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The company is evaluating the impact on its consolidated financial statements. </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Times;serif" w:hAnsi="Times New Roman;Times;serif"/>
          <w:b/>
          <w:sz w:val="20"/>
        </w:rPr>
        <w:t>19.</w:t>
      </w:r>
      <w:r>
        <w:rPr>
          <w:rFonts w:ascii="Times New Roman;Times;serif" w:hAnsi="Times New Roman;Times;serif"/>
          <w:b/>
          <w:sz w:val="20"/>
        </w:rPr>
        <w:t xml:space="preserve"> Subsequent Events</w:t>
      </w:r>
    </w:p>
    <w:p>
      <w:pPr>
        <w:pStyle w:val="TextBody"/>
        <w:bidi w:val="0"/>
        <w:spacing w:before="0" w:after="0"/>
        <w:ind w:left="0" w:right="0" w:hanging="0"/>
        <w:jc w:val="left"/>
      </w:pPr>
      <w:r>
        <w:t> </w:t>
      </w:r>
    </w:p>
    <w:p>
      <w:pPr>
        <w:pStyle w:val="TextBody"/>
        <w:bidi w:val="0"/>
        <w:spacing w:before="0" w:after="0"/>
        <w:ind w:left="0" w:right="0" w:firstLine="720"/>
        <w:jc w:val="both"/>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729"/>
        <w:gridCol w:w="9476"/>
      </w:tblGrid>
      <w:t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pPr>
      <w: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addressable markets, our competitive position, macroeconomic conditions and their anticipated effect on our business, the benefits of our acquisitions, future financial results and financial condition and capabilities and potential uses of our products,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t>
      </w:r>
      <w:r>
        <w:rPr>
          <w:sz w:val="20"/>
        </w:rPr>
        <w:t xml:space="preserve"> </w:t>
      </w:r>
      <w:r>
        <w:rPr>
          <w:rFonts w:ascii="Times New Roman" w:hAnsi="Times New Roman"/>
          <w:i/>
          <w:sz w:val="20"/>
        </w:rPr>
        <w:t>If we fail to implement our business strategy successfully, our financial performance could be harmed; We may not realize all of the sales expected from our backlog of orders and contracts; We rely upon third-party suppliers for the components and subassemblies of many of our Grid and Wind products, making us vulnerable to supply shortages and price fluctuations, which could harm our business; We may acquire additional complementary businesses or technologies, which may require us to incur substantial costs for which we may never realize the anticipated benefits; Our business and operations may be materially adversely impacted in the event of a failure or security breach of our or any critical third parties' </w:t>
      </w:r>
      <w:r>
        <w:rPr>
          <w:sz w:val="20"/>
        </w:rPr>
        <w:t xml:space="preserve"> </w:t>
      </w:r>
      <w:r>
        <w:rPr>
          <w:rFonts w:ascii="Times New Roman" w:hAnsi="Times New Roman"/>
          <w:i/>
          <w:sz w:val="20"/>
        </w:rPr>
        <w:t>IT Systems or Confidential Information;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performance on contracts with the U.S. Department of Defense may result in restrictions to our ability to repurchase our common stock or U.S. government denial of Foreign Military Sales or ceasing of assistance for international Direct Commercial Sales; Failure to comply with evolving data privacy and data protection laws, regulations, and other obligations, or to otherwise protect personal data, may adversely impact our business and financial results; Our success is dependent upon attracting and retaining qualified personnel and our inability to do so could significantly damage our business and prospects; A significant portion of our Wind segment revenues are derived from a single customer. If this customer'</w:t>
      </w:r>
      <w:r>
        <w:rPr>
          <w:sz w:val="20"/>
        </w:rPr>
        <w:t xml:space="preserve"> </w:t>
      </w:r>
      <w:r>
        <w:rPr>
          <w:rFonts w:ascii="Times New Roman" w:hAnsi="Times New Roman"/>
          <w:i/>
          <w:sz w:val="20"/>
        </w:rPr>
        <w:t>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or product liability charges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including our REG system,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Changes in valuation allowance of deferred tax assets may affect our future operating results; If we fail to maintain proper and effective internal control over financial reporting on business acquisitions, our ability to produce accurate and timely financial statements could be impaired and may lead investors and other users to lose confidence in our financial data; We have not been historically profitable, and there can be no assurance that we will sustain our recent profitability; we have a history of negative operating cash flows, and we may require additional financing in the future, which may not be available to us; Changes in exchange rates could adversely affect our results of operations; We may be required to issue performance bonds, which restricts our ability to access any cash used as collateral for the bonds; Adverse changes in domestic and global economic conditions could adversely affect our operating results; The ongoing conflicts between the United States, Israel, and Iran has disrupted global energy markets and supply chains and could adversely affect our business, financial condition, and results of operations;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Latin America and India, and global conditions could negatively affect our operating results or limit our ability to expand our operations outside of these markets. Changes in Brazil'</w:t>
      </w:r>
      <w:r>
        <w:rPr>
          <w:sz w:val="20"/>
        </w:rPr>
        <w:t xml:space="preserve"> </w:t>
      </w:r>
      <w:r>
        <w:rPr>
          <w:rFonts w:ascii="Times New Roman" w:hAnsi="Times New Roman"/>
          <w:i/>
          <w:sz w:val="20"/>
        </w:rPr>
        <w:t>s or India'</w:t>
      </w:r>
      <w:r>
        <w:rPr>
          <w:sz w:val="20"/>
        </w:rPr>
        <w:t xml:space="preserve"> </w:t>
      </w:r>
      <w:r>
        <w:rPr>
          <w:rFonts w:ascii="Times New Roman" w:hAnsi="Times New Roman"/>
          <w:i/>
          <w:sz w:val="20"/>
        </w:rPr>
        <w:t>s political, social, regulatory and economic environment may affect our financial performance; Industry consolidation could result in more powerful competitors and fewer customers; Evolving and varied expectations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Our technology and products could infringe intellectual property rights of others, which may require costly litigation and, if we are not successful, could cause us to pay substantial damages and disrupt our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w:t>
      </w:r>
      <w:r>
        <w:rPr>
          <w:sz w:val="20"/>
        </w:rPr>
        <w:t xml:space="preserve"> </w:t>
      </w:r>
      <w:r>
        <w:rPr>
          <w:rFonts w:ascii="Times New Roman" w:hAnsi="Times New Roman"/>
          <w:i/>
          <w:sz w:val="20"/>
        </w:rPr>
        <w:t>s attention; Unfavorable results of legal proceedings could have a material adverse effect on our business, operating results and financial condition; </w:t>
      </w:r>
      <w:r>
        <w:rPr>
          <w:sz w:val="20"/>
        </w:rPr>
        <w:t xml:space="preserve"> </w:t>
      </w:r>
      <w:r>
        <w:rPr>
          <w:i/>
          <w:sz w:val="20"/>
        </w:rPr>
        <w:t>and the other important factors discussed under the caption "Risk Factors" in Part 1. Item 1A of our Form 10-K for the fiscal year ended March 31, 2026,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r>
        <w:rPr>
          <w:sz w:val="20"/>
        </w:rPr>
        <w:t xml:space="preserve"> </w:t>
      </w:r>
    </w:p>
    <w:p>
      <w:pPr>
        <w:pStyle w:val="TextBody"/>
        <w:bidi w:val="0"/>
        <w:spacing w:before="0" w:after="0"/>
        <w:ind w:left="0" w:right="0" w:firstLine="540"/>
        <w:jc w:val="both"/>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American Superconductor®, AMSC®, Comtrafo™, Neeltran®, NEPSI™, NWL®, to the next power™, think inside the box™, Smarter, Cleaner...Better Energy™, orchestrate the rhythm and harmony of power on the grid™, Amperium®, D-VAR®, PowerModule™, D-VAR VVO®, PQ-IVR®, SeaTitan®, Gridtec™, Mairnetec™, Windtec™, actiVAR®, armorVAR™,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Guided by a belief in the power of next, we are a leading provider of power control solutions that apply innovation and creativity to address today’s challenges and enable a more resilient and sustainable energy future. Driven by our purpose “to power progress,” we integrate future-facing technologies to balance the growing global demand for power with the need for reliable, and efficient power delivery. Our advanced grid systems, engineering services, power electronics, software controls, and superconductor-based solutions help the traditional and renewable energy sectors, electric utilities, the materials and mining sector, industrial facilities, and other critical infrastructure operators optimize network reliability, improve power quality, alleviate grid constraints, and scale operations without added complexity or size.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deliver ship protection and power management solutions that enhance fleet efficiency, survivability, and operational readiness for the U.S. Navy and allied fleets. In the wind power market, we provide advanced electrical control systems, engineering, and support services that help manufacturers lower the cost of wind energy and improve turbine performance. Beyond these markets, we provide industrial process, environmental and emission control capabilities that support operational efficiency across the broader energy infrastructure. Across our businesses, our solutions are helping optimize power networks, strengthen naval capabilities, and support gigawatts of renewable energy generation worldwide as governments and industries continue investing in more resilient, secure, and sustainable power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our business under two market-facing business segments: Grid and Wind. We believe this market centric structure enables us to more effectively anticipate and meet the needs of power generators, power utilities, industrial manufacturers, the military and renewable energy companies. </w:t>
      </w:r>
    </w:p>
    <w:p>
      <w:pPr>
        <w:pStyle w:val="TextBody"/>
        <w:bidi w:val="0"/>
        <w:spacing w:before="0" w:after="0"/>
        <w:ind w:left="0" w:right="0" w:firstLine="720"/>
        <w:jc w:val="both"/>
      </w:pPr>
      <w: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c>
          <w:tcPr>
            <w:tcW w:w="60" w:type="dxa"/>
            <w:tcBorders/>
            <w:vAlign w:val="center"/>
          </w:tcPr>
          <w:p>
            <w:pPr>
              <w:pStyle w:val="TableContents"/>
              <w:bidi w:val="0"/>
              <w:spacing w:before="0" w:after="283"/>
              <w:jc w:val="left"/>
            </w:pPr>
            <w:r>
              <w:t> </w:t>
            </w:r>
          </w:p>
        </w:tc>
        <w:tc>
          <w:tcPr>
            <w:tcW w:w="110" w:type="dxa"/>
            <w:tcBorders/>
            <w:vAlign w:val="center"/>
          </w:tcPr>
          <w:p>
            <w:pPr>
              <w:pStyle w:val="TableContents"/>
              <w:bidi w:val="0"/>
              <w:spacing w:before="0" w:after="0"/>
              <w:ind w:left="0" w:right="0" w:hanging="0"/>
              <w:jc w:val="left"/>
            </w:pPr>
            <w: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Our Grid business segment enables electric utilities, industrial facilities, and traditional and renewable energy project developers to connect, transmit, transform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critical shipyard infrastructure power solutions, ship power supplies and ship protection products to U.S. and allied Navies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c>
          <w:tcPr>
            <w:tcW w:w="60" w:type="dxa"/>
            <w:tcBorders/>
            <w:vAlign w:val="center"/>
          </w:tcPr>
          <w:p>
            <w:pPr>
              <w:pStyle w:val="TableContents"/>
              <w:bidi w:val="0"/>
              <w:spacing w:before="0" w:after="283"/>
              <w:jc w:val="both"/>
            </w:pPr>
            <w:r>
              <w:t> </w:t>
            </w:r>
          </w:p>
        </w:tc>
        <w:tc>
          <w:tcPr>
            <w:tcW w:w="110" w:type="dxa"/>
            <w:tcBorders/>
            <w:vAlign w:val="center"/>
          </w:tcPr>
          <w:p>
            <w:pPr>
              <w:pStyle w:val="TableContents"/>
              <w:bidi w:val="0"/>
              <w:spacing w:before="0" w:after="0"/>
              <w:ind w:left="0" w:right="0" w:hanging="0"/>
              <w:jc w:val="both"/>
            </w:pPr>
            <w: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2026 refers to the fiscal year that began on April 1, 2026. Other fiscal years follow similarly.</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 arising from various reasons, such as the ongoing wars between Russia and Ukraine, and in the Middle East, tariffs, trade restrictions and resulting trade conflicts, labor force availability, sourcing, material delays and global supply chain disruptions,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5, 2025 (the "Comtrafo Acquisition Date"), we entered into a Stock Exchange Agreement (the "Stock Exchange Agreement") with the selling stockholders named therein (the "Stockholders"). Pursuant to the terms of the Stock Exchange Agreement, Mardin Participações Ltda., an entity incorporated in Brazil (“AMSC Brazil”) and our wholly-owned subsidiary, directly or indirectly, purchased all of the issued and outstanding shares of Comtrafo Indústria de Transformadores Elétricos S.A. ("Comtrafo") (collectively, the "Comtrafo Acquisition") for (a) (i) 300 million Brazilian Real in cash; and (b) 2,417,142 restricted shares of our common stock, $0.01 par value per share (the "AMSC Shares") that were paid and issued, respectively, at closing. In addition, pursuant to certain additional real property agreements, AMSC Brazil through Comtrafo purchased certain real estate assets and transportation assets of Comtrafo for 155.6 million Brazilian Real and 13.4 million Brazilian Real, respectively, in cash. Additionally, AMSC Brazil has agreed to pay the Stockholders up to an additional 382.5 million Brazilian Real in cash (the "Earnout") upon the achievement of specified earnings before interest, taxes, depreciation, and amortization ("EBITDA") objectives during the three years following the closing. Comtrafo is a Brazil-based manufacturer of large power and distribution transformers primarily for utility customers and also for industrial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critical accounting policies and estimates have not materially changed from those disclosed in our Form 10-K for the fiscal year ended March 31, 2026.</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83"/>
        <w:jc w:val="left"/>
      </w:pPr>
      <w: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and six months ended </w:t>
      </w:r>
      <w:r>
        <w:rPr>
          <w:rFonts w:ascii="Times New Roman;Times;serif" w:hAnsi="Times New Roman;Times;serif"/>
          <w:b/>
          <w:i/>
          <w:sz w:val="20"/>
          <w:shd w:fill="FFFFFF" w:val="clear"/>
        </w:rPr>
        <w:t>September 30, 2026</w:t>
      </w:r>
      <w:r>
        <w:rPr>
          <w:rFonts w:ascii="Times New Roman;Times;serif" w:hAnsi="Times New Roman;Times;serif"/>
          <w:b/>
          <w:i/>
          <w:sz w:val="20"/>
        </w:rPr>
        <w:t>, compared to the three and six months ended September 30, 2025</w:t>
      </w:r>
    </w:p>
    <w:p>
      <w:pPr>
        <w:pStyle w:val="TextBody"/>
        <w:bidi w:val="0"/>
        <w:spacing w:before="0" w:after="0"/>
        <w:ind w:left="0" w:right="0" w:hanging="0"/>
        <w:jc w:val="both"/>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43% to $94.0 million for the three months ended September 30, 2026 and total revenues increased 36% to $188.1 million for the six months ended September 30, 2026 compared to $65.9 million and $138.2 million for the three and six months ended September 30, 2025, respectively. Our revenues are summarized as follows (in thousands):</w:t>
      </w:r>
    </w:p>
    <w:p>
      <w:pPr>
        <w:pStyle w:val="TextBody"/>
        <w:bidi w:val="0"/>
        <w:spacing w:before="0" w:after="0"/>
        <w:ind w:left="0" w:right="0" w:firstLine="720"/>
        <w:jc w:val="both"/>
      </w:pPr>
      <w:r>
        <w:t> </w:t>
      </w:r>
    </w:p>
    <w:tbl>
      <w:tblPr>
        <w:tblW w:w="6939" w:type="dxa"/>
        <w:jc w:val="left"/>
        <w:tblInd w:w="0" w:type="dxa"/>
        <w:tblLayout w:type="fixed"/>
        <w:tblCellMar>
          <w:top w:w="0" w:type="dxa"/>
          <w:left w:w="0" w:type="dxa"/>
          <w:bottom w:w="0" w:type="dxa"/>
          <w:right w:w="0" w:type="dxa"/>
        </w:tblCellMar>
      </w:tblPr>
      <w:tblGrid>
        <w:gridCol w:w="875"/>
        <w:gridCol w:w="60"/>
        <w:gridCol w:w="244"/>
        <w:gridCol w:w="1155"/>
        <w:gridCol w:w="117"/>
        <w:gridCol w:w="117"/>
        <w:gridCol w:w="244"/>
        <w:gridCol w:w="1155"/>
        <w:gridCol w:w="60"/>
        <w:gridCol w:w="60"/>
        <w:gridCol w:w="198"/>
        <w:gridCol w:w="1103"/>
        <w:gridCol w:w="95"/>
        <w:gridCol w:w="95"/>
        <w:gridCol w:w="198"/>
        <w:gridCol w:w="1103"/>
        <w:gridCol w:w="60"/>
      </w:tblGrid>
      <w:tr>
        <w:tc>
          <w:tcPr>
            <w:tcW w:w="8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8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shd w:fill="FFFFFF" w:val="clear"/>
            <w:vAlign w:val="center"/>
          </w:tcPr>
          <w:p>
            <w:pPr>
              <w:pStyle w:val="TableContents"/>
              <w:bidi w:val="0"/>
              <w:spacing w:before="0" w:after="283"/>
              <w:jc w:val="left"/>
            </w:pPr>
            <w:r>
              <w:t> </w:t>
            </w:r>
          </w:p>
        </w:tc>
        <w:tc>
          <w:tcPr>
            <w:tcW w:w="117" w:type="dxa"/>
            <w:tcBorders/>
            <w:shd w:fill="FFFFFF" w:val="clear"/>
            <w:vAlign w:val="center"/>
          </w:tcPr>
          <w:p>
            <w:pPr>
              <w:pStyle w:val="TableContents"/>
              <w:bidi w:val="0"/>
              <w:spacing w:before="0" w:after="283"/>
              <w:ind w:left="0" w:right="0" w:hanging="0"/>
              <w:jc w:val="left"/>
            </w:pPr>
            <w: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pPr>
            <w:r>
              <w:t> </w:t>
            </w:r>
          </w:p>
        </w:tc>
        <w:tc>
          <w:tcPr>
            <w:tcW w:w="244" w:type="dxa"/>
            <w:tcBorders/>
            <w:shd w:fill="CCEEFF" w:val="clear"/>
            <w:vAlign w:val="center"/>
          </w:tcPr>
          <w:p>
            <w:pPr>
              <w:pStyle w:val="TableContents"/>
              <w:bidi w:val="0"/>
              <w:spacing w:before="0" w:after="283"/>
              <w:jc w:val="left"/>
            </w:pPr>
            <w:r>
              <w:t> </w:t>
            </w:r>
          </w:p>
        </w:tc>
        <w:tc>
          <w:tcPr>
            <w:tcW w:w="1155" w:type="dxa"/>
            <w:tcBorders/>
            <w:shd w:fill="CCEEFF" w:val="clear"/>
            <w:vAlign w:val="center"/>
          </w:tcPr>
          <w:p>
            <w:pPr>
              <w:pStyle w:val="TableContents"/>
              <w:bidi w:val="0"/>
              <w:spacing w:before="0" w:after="283"/>
              <w:jc w:val="left"/>
            </w:pPr>
            <w:r>
              <w:t> </w:t>
            </w:r>
          </w:p>
        </w:tc>
        <w:tc>
          <w:tcPr>
            <w:tcW w:w="117" w:type="dxa"/>
            <w:tcBorders/>
            <w:shd w:fill="CCEEFF" w:val="clear"/>
            <w:vAlign w:val="center"/>
          </w:tcPr>
          <w:p>
            <w:pPr>
              <w:pStyle w:val="TableContents"/>
              <w:bidi w:val="0"/>
              <w:spacing w:before="0" w:after="283"/>
              <w:jc w:val="left"/>
            </w:pPr>
            <w:r>
              <w:t> </w:t>
            </w:r>
          </w:p>
        </w:tc>
        <w:tc>
          <w:tcPr>
            <w:tcW w:w="117" w:type="dxa"/>
            <w:tcBorders/>
            <w:shd w:fill="CCEEFF" w:val="clear"/>
            <w:vAlign w:val="center"/>
          </w:tcPr>
          <w:p>
            <w:pPr>
              <w:pStyle w:val="TableContents"/>
              <w:bidi w:val="0"/>
              <w:spacing w:before="0" w:after="283"/>
              <w:jc w:val="left"/>
            </w:pPr>
            <w:r>
              <w:t> </w:t>
            </w:r>
          </w:p>
        </w:tc>
        <w:tc>
          <w:tcPr>
            <w:tcW w:w="244" w:type="dxa"/>
            <w:tcBorders/>
            <w:shd w:fill="CCEEFF" w:val="clear"/>
            <w:vAlign w:val="center"/>
          </w:tcPr>
          <w:p>
            <w:pPr>
              <w:pStyle w:val="TableContents"/>
              <w:bidi w:val="0"/>
              <w:spacing w:before="0" w:after="283"/>
              <w:jc w:val="left"/>
            </w:pPr>
            <w:r>
              <w:t> </w:t>
            </w:r>
          </w:p>
        </w:tc>
        <w:tc>
          <w:tcPr>
            <w:tcW w:w="115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03"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110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pPr>
            <w: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76,667</w:t>
            </w:r>
          </w:p>
        </w:tc>
        <w:tc>
          <w:tcPr>
            <w:tcW w:w="117" w:type="dxa"/>
            <w:tcBorders/>
            <w:shd w:fill="FFFFFF" w:val="clear"/>
            <w:vAlign w:val="center"/>
          </w:tcPr>
          <w:p>
            <w:pPr>
              <w:pStyle w:val="TableContents"/>
              <w:bidi w:val="0"/>
              <w:spacing w:before="0" w:after="283"/>
              <w:jc w:val="left"/>
            </w:pPr>
            <w:r>
              <w:t> </w:t>
            </w:r>
          </w:p>
        </w:tc>
        <w:tc>
          <w:tcPr>
            <w:tcW w:w="117" w:type="dxa"/>
            <w:tcBorders/>
            <w:shd w:fill="FFFFFF" w:val="clear"/>
            <w:vAlign w:val="center"/>
          </w:tcPr>
          <w:p>
            <w:pPr>
              <w:pStyle w:val="TableContents"/>
              <w:bidi w:val="0"/>
              <w:spacing w:before="0" w:after="283"/>
              <w:ind w:left="0" w:right="0" w:hanging="0"/>
              <w:jc w:val="left"/>
            </w:pPr>
            <w: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152,990</w:t>
            </w:r>
          </w:p>
        </w:tc>
        <w:tc>
          <w:tcPr>
            <w:tcW w:w="9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p>
        </w:tc>
        <w:tc>
          <w:tcPr>
            <w:tcW w:w="60" w:type="dxa"/>
            <w:tcBorders/>
            <w:shd w:fill="FFFFFF" w:val="clear"/>
            <w:vAlign w:val="center"/>
          </w:tcPr>
          <w:p>
            <w:pPr>
              <w:pStyle w:val="TableContents"/>
              <w:bidi w:val="0"/>
              <w:spacing w:before="0" w:after="283"/>
              <w:jc w:val="left"/>
            </w:pPr>
            <w:r>
              <w:t> </w:t>
            </w:r>
          </w:p>
        </w:tc>
      </w:tr>
      <w:t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pPr>
            <w: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17,371</w:t>
            </w:r>
          </w:p>
        </w:tc>
        <w:tc>
          <w:tcPr>
            <w:tcW w:w="117" w:type="dxa"/>
            <w:tcBorders/>
            <w:shd w:fill="CCEEFF" w:val="clear"/>
            <w:vAlign w:val="center"/>
          </w:tcPr>
          <w:p>
            <w:pPr>
              <w:pStyle w:val="TableContents"/>
              <w:bidi w:val="0"/>
              <w:spacing w:before="0" w:after="283"/>
              <w:jc w:val="left"/>
            </w:pPr>
            <w:r>
              <w:t> </w:t>
            </w:r>
          </w:p>
        </w:tc>
        <w:tc>
          <w:tcPr>
            <w:tcW w:w="117" w:type="dxa"/>
            <w:tcBorders/>
            <w:shd w:fill="CCEEFF" w:val="clear"/>
            <w:vAlign w:val="center"/>
          </w:tcPr>
          <w:p>
            <w:pPr>
              <w:pStyle w:val="TableContents"/>
              <w:bidi w:val="0"/>
              <w:spacing w:before="0" w:after="283"/>
              <w:jc w:val="left"/>
            </w:pPr>
            <w: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35,120</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p>
        </w:tc>
        <w:tc>
          <w:tcPr>
            <w:tcW w:w="60" w:type="dxa"/>
            <w:tcBorders/>
            <w:shd w:fill="CCEEFF" w:val="clear"/>
            <w:vAlign w:val="center"/>
          </w:tcPr>
          <w:p>
            <w:pPr>
              <w:pStyle w:val="TableContents"/>
              <w:bidi w:val="0"/>
              <w:spacing w:before="0" w:after="283"/>
              <w:jc w:val="left"/>
            </w:pPr>
            <w:r>
              <w:t> </w:t>
            </w:r>
          </w:p>
        </w:tc>
      </w:tr>
      <w:t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94,038</w:t>
            </w:r>
          </w:p>
        </w:tc>
        <w:tc>
          <w:tcPr>
            <w:tcW w:w="117" w:type="dxa"/>
            <w:tcBorders/>
            <w:shd w:fill="FFFFFF" w:val="clear"/>
            <w:vAlign w:val="center"/>
          </w:tcPr>
          <w:p>
            <w:pPr>
              <w:pStyle w:val="TableContents"/>
              <w:bidi w:val="0"/>
              <w:spacing w:before="0" w:after="283"/>
              <w:jc w:val="left"/>
            </w:pPr>
            <w:r>
              <w:t> </w:t>
            </w:r>
          </w:p>
        </w:tc>
        <w:tc>
          <w:tcPr>
            <w:tcW w:w="117" w:type="dxa"/>
            <w:tcBorders/>
            <w:shd w:fill="FFFFFF" w:val="clear"/>
            <w:vAlign w:val="center"/>
          </w:tcPr>
          <w:p>
            <w:pPr>
              <w:pStyle w:val="TableContents"/>
              <w:bidi w:val="0"/>
              <w:spacing w:before="0" w:after="283"/>
              <w:ind w:left="0" w:right="0" w:hanging="0"/>
              <w:jc w:val="left"/>
            </w:pPr>
            <w: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65,862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188,111</w:t>
            </w:r>
          </w:p>
        </w:tc>
        <w:tc>
          <w:tcPr>
            <w:tcW w:w="9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138,220</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Grid business segment accounted for 82% of total revenues for both the three and six months ended September 30, 2026, compared to 83% for both the three and six months ended September 30, 2025. Our Grid business segment revenues increased 41% to $76.7 million in the three months ended September 30, 2026, from $54.3 million in the three months ended September 30, 2025. Our Grid business segment revenues increased 34% to $153.0 million in the six months ended September 30, 2026, from $114.4 million in the six months ended September 30, 2025. The increase in the Grid business segment revenues in the three and six months ended September 30, 2026, compared to the three and six months ended September 30, 2025, was driven by the addition of Comtrafo revenues along with organic revenue growth. </w:t>
      </w:r>
    </w:p>
    <w:p>
      <w:pPr>
        <w:pStyle w:val="TextBody"/>
        <w:bidi w:val="0"/>
        <w:spacing w:before="0" w:after="0"/>
        <w:ind w:left="0" w:right="0" w:firstLine="720"/>
        <w:jc w:val="both"/>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Wind business segment accounted for 18% of total revenues for both the three and six months ended September 30, 2026, compared to 17% for both the three and six months ended September 30, 2025. Our Wind business segment revenues increased 51% to $17.4 million in the three months ended September 30, 2026, from $11.5 million in the three months ended September 30, 2025. Our Wind business segment revenues increased 48% to $35.1 million in the six months ended September 30, 2026, from $23.8 million in the six months ended September 30, 2025. The increase in the Wind business segment revenues in the three and six months ended September 30, 2026, compared to the three and six months ended September 30, 2025, was driven by additional shipments of electrical control systems ("ECS"). </w:t>
      </w:r>
    </w:p>
    <w:p>
      <w:pPr>
        <w:pStyle w:val="TextBody"/>
        <w:bidi w:val="0"/>
        <w:spacing w:before="0" w:after="0"/>
        <w:ind w:left="0" w:right="0" w:firstLine="720"/>
        <w:jc w:val="both"/>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49% to $67.5 million for the three months ended September 30, 2026, compared to $45.4 million for the three months ended September 30, 2025. Cost of revenues increased by 47% to $136.9 million for the six months ended September 30, 2026, compared to $93.3 million for the six months ended September 30, 2025. Gross margin was 28% and 27% for the three and six months ended September 30, 2026, respectively, compared to 31% and 33% for the three and six months ended September 30, 2025, respectively. Cost of revenues includes total amortization expense of $0.5 million and $1.0 million in the three and six months ended September 30, 2026, respectively, as a result of Comtrafo acquired backlog intangible assets. In addition, $0.7 million related to a fair value adjustment for the step-up basis assigned to acquired inventory to properly reflect the fair value in purchase accounting was charged to cost of revenues in the six months ended September 30, 2026. The decrease in gross margins in the three and six months ended September 30, 2026 was due to a less favorable product mix and the impact of Comtrafo purchase accounting items.</w:t>
      </w:r>
    </w:p>
    <w:p>
      <w:pPr>
        <w:pStyle w:val="TextBody"/>
        <w:bidi w:val="0"/>
        <w:spacing w:before="0" w:after="0"/>
        <w:ind w:left="0" w:right="0" w:firstLine="720"/>
        <w:jc w:val="both"/>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("R&amp;D") expense increased 1% in the three months ended September 30, 2026, to $3.8 million from $3.7 million in the three months ended September 30, 2025. R&amp;D expenses decreased 4% in the six months ended September 30, 2026, to $7.7 million from $8.0 million in the six months ended September 30, 2025. The increase in the three months ended September 30, 2026 was driven primarily by additional stock based compensation. The decrease in the six months ended September 30, 2026 was driven primarily by lower total compensation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("SG&amp;A") expenses increased 36% in the three months ended September 30, 2026, to $18.3 million from $13.4 million in the three months ended September 30, 2025. SG&amp;A expenses increased 34% in the six months ended September 30, 2026 to $36.9 million from $27.6 million in the six months ended September 30, 2025. The increase in SG&amp;A expense in the three and six months ended September 30, 2026 was driven primarily by the addition of Comtrafo expenses, higher total compensation expense, and additional stock-based compensation expense.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acquisition-related intangibles</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recorded amortization expense related to our core technology and know-how and customer relationships of $0.5 million in the three months ended September 30, 2026, and $0.3 million in the three months ended September 30, 2025. We recorded amortization expense related to our core technology and know-how and customer relationships of $0.9 million in the six months ended September 30, 2026, and $0.7 million in the six months ended September 30, 2025. The increase in amortization expense in the three and six months ended September 30, 2026 was a result of additional amortization related to the Comtrafo acquisition, as well as ongoing activity from NEPSI and Neeltran, which are using the economic consumption method as the basis to amortize the acquired customer relationships intangible assets.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pPr>
      <w:r>
        <w:t> </w:t>
      </w:r>
    </w:p>
    <w:p>
      <w:pPr>
        <w:pStyle w:val="TextBody"/>
        <w:bidi w:val="0"/>
        <w:spacing w:before="0" w:after="0"/>
        <w:ind w:left="144" w:right="144" w:firstLine="555"/>
        <w:jc w:val="both"/>
        <w:rPr>
          <w:rFonts w:ascii="Times New Roman;Times;serif" w:hAnsi="Times New Roman;Times;serif"/>
          <w:sz w:val="20"/>
        </w:rPr>
      </w:pPr>
      <w:r>
        <w:rPr>
          <w:rFonts w:ascii="Times New Roman;Times;serif" w:hAnsi="Times New Roman;Times;serif"/>
          <w:sz w:val="20"/>
        </w:rPr>
        <w:t>The change in fair value of our contingent consideration for the earnout payment on the acquisition of Comtrafo resulted in a gain of $1.3 million and $9.4 million from changes in fair value of the contingent consideration driven by changes in the forecast in the three and six months ended September 30, 2026, respectively. There was no activity in the three or six months ended September 30, 2025 related to the change in fair value of contingent consideration.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pPr>
      <w:r>
        <w:t> </w:t>
      </w:r>
    </w:p>
    <w:tbl>
      <w:tblPr>
        <w:tblW w:w="8663" w:type="dxa"/>
        <w:jc w:val="left"/>
        <w:tblInd w:w="0" w:type="dxa"/>
        <w:tblLayout w:type="fixed"/>
        <w:tblCellMar>
          <w:top w:w="0" w:type="dxa"/>
          <w:left w:w="0" w:type="dxa"/>
          <w:bottom w:w="0" w:type="dxa"/>
          <w:right w:w="0" w:type="dxa"/>
        </w:tblCellMar>
      </w:tblPr>
      <w:tblGrid>
        <w:gridCol w:w="2600"/>
        <w:gridCol w:w="60"/>
        <w:gridCol w:w="278"/>
        <w:gridCol w:w="1082"/>
        <w:gridCol w:w="178"/>
        <w:gridCol w:w="133"/>
        <w:gridCol w:w="278"/>
        <w:gridCol w:w="1082"/>
        <w:gridCol w:w="60"/>
        <w:gridCol w:w="60"/>
        <w:gridCol w:w="238"/>
        <w:gridCol w:w="1125"/>
        <w:gridCol w:w="152"/>
        <w:gridCol w:w="114"/>
        <w:gridCol w:w="238"/>
        <w:gridCol w:w="925"/>
        <w:gridCol w:w="60"/>
      </w:tblGrid>
      <w:tr>
        <w:tc>
          <w:tcPr>
            <w:tcW w:w="26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26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8"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3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2"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pPr>
            <w:r>
              <w:t> </w:t>
            </w:r>
          </w:p>
        </w:tc>
        <w:tc>
          <w:tcPr>
            <w:tcW w:w="278" w:type="dxa"/>
            <w:tcBorders/>
            <w:shd w:fill="CCEEFF" w:val="clear"/>
            <w:vAlign w:val="center"/>
          </w:tcPr>
          <w:p>
            <w:pPr>
              <w:pStyle w:val="TableContents"/>
              <w:bidi w:val="0"/>
              <w:spacing w:before="0" w:after="283"/>
              <w:jc w:val="left"/>
            </w:pPr>
            <w:r>
              <w:t> </w:t>
            </w:r>
          </w:p>
        </w:tc>
        <w:tc>
          <w:tcPr>
            <w:tcW w:w="1082" w:type="dxa"/>
            <w:tcBorders/>
            <w:shd w:fill="CCEEFF" w:val="clear"/>
            <w:vAlign w:val="center"/>
          </w:tcPr>
          <w:p>
            <w:pPr>
              <w:pStyle w:val="TableContents"/>
              <w:bidi w:val="0"/>
              <w:spacing w:before="0" w:after="283"/>
              <w:jc w:val="left"/>
            </w:pPr>
            <w:r>
              <w:t> </w:t>
            </w:r>
          </w:p>
        </w:tc>
        <w:tc>
          <w:tcPr>
            <w:tcW w:w="178"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278" w:type="dxa"/>
            <w:tcBorders/>
            <w:shd w:fill="CCEEFF" w:val="clear"/>
            <w:vAlign w:val="center"/>
          </w:tcPr>
          <w:p>
            <w:pPr>
              <w:pStyle w:val="TableContents"/>
              <w:bidi w:val="0"/>
              <w:spacing w:before="0" w:after="283"/>
              <w:jc w:val="left"/>
            </w:pPr>
            <w:r>
              <w:t> </w:t>
            </w:r>
          </w:p>
        </w:tc>
        <w:tc>
          <w:tcPr>
            <w:tcW w:w="108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283"/>
              <w:jc w:val="left"/>
            </w:pPr>
            <w:r>
              <w:t> </w:t>
            </w:r>
          </w:p>
        </w:tc>
        <w:tc>
          <w:tcPr>
            <w:tcW w:w="1125"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283"/>
              <w:jc w:val="left"/>
            </w:pPr>
            <w:r>
              <w:t> </w:t>
            </w:r>
          </w:p>
        </w:tc>
        <w:tc>
          <w:tcPr>
            <w:tcW w:w="92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pPr>
            <w: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FFFFFF" w:val="clear"/>
            <w:vAlign w:val="center"/>
          </w:tcPr>
          <w:p>
            <w:pPr>
              <w:pStyle w:val="TableContents"/>
              <w:bidi w:val="0"/>
              <w:spacing w:before="0" w:after="283"/>
              <w:ind w:left="0" w:right="0" w:hanging="0"/>
              <w:jc w:val="left"/>
            </w:pPr>
            <w: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w:t>
            </w:r>
          </w:p>
        </w:tc>
        <w:tc>
          <w:tcPr>
            <w:tcW w:w="1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FFFFFF" w:val="clear"/>
            <w:vAlign w:val="center"/>
          </w:tcPr>
          <w:p>
            <w:pPr>
              <w:pStyle w:val="TableContents"/>
              <w:bidi w:val="0"/>
              <w:spacing w:before="0" w:after="283"/>
              <w:ind w:left="0" w:right="0" w:hanging="0"/>
              <w:jc w:val="left"/>
            </w:pPr>
            <w: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5,435</w:t>
            </w:r>
          </w:p>
        </w:tc>
        <w:tc>
          <w:tcPr>
            <w:tcW w:w="60" w:type="dxa"/>
            <w:tcBorders/>
            <w:shd w:fill="FFFFFF" w:val="clear"/>
            <w:vAlign w:val="center"/>
          </w:tcPr>
          <w:p>
            <w:pPr>
              <w:pStyle w:val="TableContents"/>
              <w:bidi w:val="0"/>
              <w:spacing w:before="0" w:after="283"/>
              <w:jc w:val="left"/>
            </w:pPr>
            <w:r>
              <w:t> </w:t>
            </w:r>
          </w:p>
        </w:tc>
      </w:tr>
      <w:t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pPr>
            <w:r>
              <w:t> </w:t>
            </w:r>
          </w:p>
        </w:tc>
        <w:tc>
          <w:tcPr>
            <w:tcW w:w="278"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178"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278" w:type="dxa"/>
            <w:tcBorders/>
            <w:shd w:fill="CCEEFF" w:val="clear"/>
            <w:vAlign w:val="center"/>
          </w:tcPr>
          <w:p>
            <w:pPr>
              <w:pStyle w:val="TableContents"/>
              <w:bidi w:val="0"/>
              <w:spacing w:before="0" w:after="283"/>
              <w:ind w:left="0" w:right="0" w:hanging="0"/>
              <w:jc w:val="left"/>
            </w:pPr>
            <w: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283"/>
              <w:ind w:left="0" w:right="0" w:hanging="0"/>
              <w:jc w:val="left"/>
            </w:pPr>
            <w: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8,069</w:t>
            </w:r>
          </w:p>
        </w:tc>
        <w:tc>
          <w:tcPr>
            <w:tcW w:w="152"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238" w:type="dxa"/>
            <w:tcBorders/>
            <w:shd w:fill="CCEEFF" w:val="clear"/>
            <w:vAlign w:val="center"/>
          </w:tcPr>
          <w:p>
            <w:pPr>
              <w:pStyle w:val="TableContents"/>
              <w:bidi w:val="0"/>
              <w:spacing w:before="0" w:after="283"/>
              <w:ind w:left="0" w:right="0" w:hanging="0"/>
              <w:jc w:val="left"/>
            </w:pPr>
            <w: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w:t>
            </w:r>
          </w:p>
        </w:tc>
        <w:tc>
          <w:tcPr>
            <w:tcW w:w="60" w:type="dxa"/>
            <w:tcBorders/>
            <w:shd w:fill="CCEEFF" w:val="clear"/>
            <w:vAlign w:val="center"/>
          </w:tcPr>
          <w:p>
            <w:pPr>
              <w:pStyle w:val="TableContents"/>
              <w:bidi w:val="0"/>
              <w:spacing w:before="0" w:after="283"/>
              <w:jc w:val="left"/>
            </w:pPr>
            <w:r>
              <w:t> </w:t>
            </w:r>
          </w:p>
        </w:tc>
      </w:tr>
      <w:t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pPr>
            <w: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p>
        </w:tc>
        <w:tc>
          <w:tcPr>
            <w:tcW w:w="178"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152"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w:t>
            </w:r>
          </w:p>
        </w:tc>
        <w:tc>
          <w:tcPr>
            <w:tcW w:w="178"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15,191</w:t>
            </w:r>
          </w:p>
        </w:tc>
        <w:tc>
          <w:tcPr>
            <w:tcW w:w="152"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ind w:left="0" w:right="0" w:hanging="0"/>
              <w:jc w:val="left"/>
            </w:pPr>
            <w: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Grid business segment generated operating losses of $0.2 million and $2.3 million in the 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2026</w:t>
      </w:r>
      <w:r>
        <w:rPr>
          <w:rFonts w:ascii="Times New Roman;Times;serif" w:hAnsi="Times New Roman;Times;serif"/>
          <w:sz w:val="20"/>
          <w:shd w:fill="FFFFFF" w:val="clear"/>
        </w:rPr>
        <w:t>, respectively, compared to operating income of $1.3 million and $5.4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respectively. The decrease in the Grid business segment operating income in the three and six months ended September 30, 2026 was due to lower gross margins and Comtrafo purchase accounting expense.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Wind business segment generated operating income of $4.2 million and $8.1 million in the 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compared to operating income of $1.7 million and $3.2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respectively. The increase in the Wind business segment operating income in the three and six months ended September 30, 2026 was due to higher revenues and gross margins from increased sales of ECS units.</w:t>
      </w:r>
    </w:p>
    <w:p>
      <w:pPr>
        <w:pStyle w:val="TextBody"/>
        <w:bidi w:val="0"/>
        <w:spacing w:before="0" w:after="0"/>
        <w:ind w:left="0" w:right="0" w:firstLine="720"/>
        <w:jc w:val="both"/>
      </w:pPr>
      <w: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pPr>
      <w: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income, net was $1.4 million and $3.0 million in the </w:t>
      </w:r>
      <w:r>
        <w:rPr>
          <w:rFonts w:ascii="Times New Roman;Times;serif" w:hAnsi="Times New Roman;Times;serif"/>
          <w:sz w:val="20"/>
          <w:shd w:fill="FFFFFF" w:val="clear"/>
        </w:rPr>
        <w:t>three and six months ended September 30, 2026, respectively, compared to $2.3 million and $3.2 million in the three and six months ended September 30, 2025, respectively. The decrease in interest income, net, in the three and six months ended September 30, 2026 was due to lower cash balances in the current year.</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expense, net </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expense, net, was $0.4 million and $1.0 million in the three and six months ended September 30, 2026, respectively,</w:t>
      </w:r>
      <w:r>
        <w:rPr>
          <w:rFonts w:ascii="Times New Roman;Times;serif" w:hAnsi="Times New Roman;Times;serif"/>
          <w:sz w:val="20"/>
          <w:shd w:fill="FFFFFF" w:val="clear"/>
        </w:rPr>
        <w:t> compared to other expense, net of $0.4 million and less than $0.1 million in the three and six months ended September 30, 2025</w:t>
      </w:r>
      <w:r>
        <w:rPr>
          <w:rFonts w:ascii="Times New Roman;Times;serif" w:hAnsi="Times New Roman;Times;serif"/>
          <w:sz w:val="20"/>
        </w:rPr>
        <w:t>, respectively. The increase in other expense, net, during the three and six months ended September 30, 2026</w:t>
      </w:r>
      <w:r>
        <w:rPr>
          <w:rFonts w:ascii="Times New Roman;Times;serif" w:hAnsi="Times New Roman;Times;serif"/>
          <w:sz w:val="20"/>
          <w:shd w:fill="FFFFFF" w:val="clear"/>
        </w:rPr>
        <w:t>, was driven by unfavorable fluctuations in foreign currencies. </w:t>
      </w:r>
    </w:p>
    <w:p>
      <w:pPr>
        <w:pStyle w:val="TextBody"/>
        <w:bidi w:val="0"/>
        <w:spacing w:before="0" w:after="0"/>
        <w:ind w:left="0" w:right="0" w:firstLine="720"/>
        <w:jc w:val="both"/>
      </w:pPr>
      <w: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 expense was $3.4 million and $4.7 million in the </w:t>
      </w:r>
      <w:r>
        <w:rPr>
          <w:rFonts w:ascii="Times New Roman" w:hAnsi="Times New Roman"/>
          <w:caps w:val="false"/>
          <w:smallCaps w:val="false"/>
          <w:sz w:val="20"/>
          <w:shd w:fill="FFFFFF" w:val="clear"/>
        </w:rPr>
        <w:t>three and six months ended September 30, 2026, respectively, compared to income tax expense of $0.1 million and $0.3 million in the three and six months ended September 30, 2025</w:t>
      </w:r>
      <w:r>
        <w:rPr>
          <w:rFonts w:ascii="Times New Roman" w:hAnsi="Times New Roman"/>
          <w:caps w:val="false"/>
          <w:smallCaps w:val="false"/>
          <w:sz w:val="20"/>
        </w:rPr>
        <w:t>, respectively. The increase in our income tax expense was primarily due to the existence of a valuation allowance against our net U.S. deferred tax assets in the prior year, a majority of which was released during the three months ended December 31, 2025, and taxes in foreign operations in the current year. </w:t>
      </w:r>
    </w:p>
    <w:p>
      <w:pPr>
        <w:pStyle w:val="TextBody"/>
        <w:bidi w:val="0"/>
        <w:spacing w:before="0" w:after="0"/>
        <w:ind w:left="0" w:right="0" w:hanging="0"/>
        <w:jc w:val="both"/>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income</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income was $3.0 million and $12.5 million in the 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2026, respectively,</w:t>
      </w:r>
      <w:r>
        <w:rPr>
          <w:rFonts w:ascii="Times New Roman;Times;serif" w:hAnsi="Times New Roman;Times;serif"/>
          <w:sz w:val="20"/>
          <w:shd w:fill="FFFFFF" w:val="clear"/>
        </w:rPr>
        <w:t> compared to $4.8 million and $11.5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 respectively. The decrease in net income for the three months ended September 30, 2026</w:t>
      </w:r>
      <w:r>
        <w:rPr>
          <w:rFonts w:ascii="Times New Roman;Times;serif" w:hAnsi="Times New Roman;Times;serif"/>
          <w:sz w:val="20"/>
          <w:shd w:fill="FFFFFF" w:val="clear"/>
        </w:rPr>
        <w:t> was driven primarily by additional tax expense. The increase in net income for the </w:t>
      </w:r>
      <w:r>
        <w:rPr>
          <w:rFonts w:ascii="Times New Roman;Times;serif" w:hAnsi="Times New Roman;Times;serif"/>
          <w:sz w:val="20"/>
        </w:rPr>
        <w:t>six months ended September 30, 2026 was driven primarily by the change in fair value of contingent consideration. </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as net income before stock-based compensation,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w:t>
      </w:r>
      <w:r>
        <w:rPr>
          <w:rFonts w:ascii="Times New Roman;Times;serif" w:hAnsi="Times New Roman;Times;serif"/>
          <w:sz w:val="20"/>
        </w:rPr>
        <w:t> is set forth in the table below (in thousands, except per share data):</w:t>
      </w:r>
    </w:p>
    <w:p>
      <w:pPr>
        <w:pStyle w:val="TextBody"/>
        <w:bidi w:val="0"/>
        <w:spacing w:before="0" w:after="0"/>
        <w:ind w:left="0" w:right="0" w:firstLine="720"/>
        <w:jc w:val="both"/>
      </w:pPr>
      <w:r>
        <w:t> </w:t>
      </w:r>
    </w:p>
    <w:tbl>
      <w:tblPr>
        <w:tblW w:w="10028" w:type="dxa"/>
        <w:jc w:val="left"/>
        <w:tblInd w:w="0" w:type="dxa"/>
        <w:tblLayout w:type="fixed"/>
        <w:tblCellMar>
          <w:top w:w="0" w:type="dxa"/>
          <w:left w:w="0" w:type="dxa"/>
          <w:bottom w:w="0" w:type="dxa"/>
          <w:right w:w="0" w:type="dxa"/>
        </w:tblCellMar>
      </w:tblPr>
      <w:tblGrid>
        <w:gridCol w:w="3965"/>
        <w:gridCol w:w="60"/>
        <w:gridCol w:w="241"/>
        <w:gridCol w:w="1140"/>
        <w:gridCol w:w="154"/>
        <w:gridCol w:w="115"/>
        <w:gridCol w:w="241"/>
        <w:gridCol w:w="1140"/>
        <w:gridCol w:w="60"/>
        <w:gridCol w:w="60"/>
        <w:gridCol w:w="222"/>
        <w:gridCol w:w="1050"/>
        <w:gridCol w:w="142"/>
        <w:gridCol w:w="106"/>
        <w:gridCol w:w="222"/>
        <w:gridCol w:w="1050"/>
        <w:gridCol w:w="60"/>
      </w:tblGrid>
      <w:tr>
        <w:tc>
          <w:tcPr>
            <w:tcW w:w="39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ind w:left="0" w:right="0" w:hanging="0"/>
              <w:jc w:val="left"/>
            </w:pPr>
            <w: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ind w:left="0" w:right="0" w:hanging="0"/>
              <w:jc w:val="left"/>
            </w:pPr>
            <w:r>
              <w:t> </w:t>
            </w:r>
          </w:p>
        </w:tc>
        <w:tc>
          <w:tcPr>
            <w:tcW w:w="12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p>
        </w:tc>
        <w:tc>
          <w:tcPr>
            <w:tcW w:w="1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p>
        </w:tc>
        <w:tc>
          <w:tcPr>
            <w:tcW w:w="14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ind w:left="0" w:right="0" w:hanging="0"/>
              <w:jc w:val="left"/>
            </w:pPr>
            <w: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ind w:left="0" w:right="0" w:hanging="0"/>
              <w:jc w:val="left"/>
            </w:pPr>
            <w: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6,517</w:t>
            </w:r>
          </w:p>
        </w:tc>
        <w:tc>
          <w:tcPr>
            <w:tcW w:w="1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ind w:left="0" w:right="0" w:hanging="0"/>
              <w:jc w:val="left"/>
            </w:pPr>
            <w: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ind w:left="0" w:right="0" w:hanging="0"/>
              <w:jc w:val="left"/>
            </w:pPr>
            <w: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p>
        </w:tc>
        <w:tc>
          <w:tcPr>
            <w:tcW w:w="14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ind w:left="0" w:right="0" w:hanging="0"/>
              <w:jc w:val="left"/>
            </w:pPr>
            <w: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ind w:left="0" w:right="0" w:hanging="0"/>
              <w:jc w:val="left"/>
            </w:pPr>
            <w: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1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ind w:left="0" w:right="0" w:hanging="0"/>
              <w:jc w:val="left"/>
            </w:pPr>
            <w: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ind w:left="0" w:right="0" w:hanging="0"/>
              <w:jc w:val="left"/>
            </w:pPr>
            <w: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w:t>
            </w:r>
          </w:p>
        </w:tc>
        <w:tc>
          <w:tcPr>
            <w:tcW w:w="14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ind w:left="0" w:right="0" w:hanging="0"/>
              <w:jc w:val="left"/>
            </w:pPr>
            <w: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pPr>
            <w: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pPr>
            <w: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pPr>
            <w: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p>
        </w:tc>
        <w:tc>
          <w:tcPr>
            <w:tcW w:w="60" w:type="dxa"/>
            <w:tcBorders/>
            <w:shd w:fill="CCEEFF" w:val="clear"/>
            <w:vAlign w:val="center"/>
          </w:tcPr>
          <w:p>
            <w:pPr>
              <w:pStyle w:val="TableContents"/>
              <w:bidi w:val="0"/>
              <w:spacing w:before="0" w:after="283"/>
              <w:ind w:left="0" w:right="0" w:hanging="0"/>
              <w:jc w:val="left"/>
            </w:pPr>
            <w: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9,148</w:t>
            </w:r>
          </w:p>
        </w:tc>
        <w:tc>
          <w:tcPr>
            <w:tcW w:w="1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16,764</w:t>
            </w:r>
          </w:p>
        </w:tc>
        <w:tc>
          <w:tcPr>
            <w:tcW w:w="14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ind w:left="0" w:right="0" w:hanging="0"/>
              <w:jc w:val="left"/>
            </w:pPr>
            <w: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20,440</w:t>
            </w:r>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jc w:val="left"/>
            </w:pPr>
            <w:r>
              <w:t> </w:t>
            </w:r>
          </w:p>
        </w:tc>
        <w:tc>
          <w:tcPr>
            <w:tcW w:w="114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jc w:val="left"/>
            </w:pPr>
            <w:r>
              <w:t> </w:t>
            </w:r>
          </w:p>
        </w:tc>
        <w:tc>
          <w:tcPr>
            <w:tcW w:w="11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pPr>
            <w:r>
              <w:t> </w:t>
            </w:r>
          </w:p>
        </w:tc>
        <w:tc>
          <w:tcPr>
            <w:tcW w:w="105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pPr>
            <w:r>
              <w:t> </w:t>
            </w:r>
          </w:p>
        </w:tc>
        <w:tc>
          <w:tcPr>
            <w:tcW w:w="10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basic</w:t>
            </w:r>
          </w:p>
        </w:tc>
        <w:tc>
          <w:tcPr>
            <w:tcW w:w="60"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1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w:t>
            </w:r>
          </w:p>
        </w:tc>
        <w:tc>
          <w:tcPr>
            <w:tcW w:w="14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diluted</w:t>
            </w:r>
          </w:p>
        </w:tc>
        <w:tc>
          <w:tcPr>
            <w:tcW w:w="60"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w:t>
            </w:r>
          </w:p>
        </w:tc>
        <w:tc>
          <w:tcPr>
            <w:tcW w:w="1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w:t>
            </w:r>
          </w:p>
        </w:tc>
        <w:tc>
          <w:tcPr>
            <w:tcW w:w="14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CCEEFF" w:val="clear"/>
            <w:vAlign w:val="center"/>
          </w:tcPr>
          <w:p>
            <w:pPr>
              <w:pStyle w:val="TableContents"/>
              <w:bidi w:val="0"/>
              <w:spacing w:before="0" w:after="283"/>
              <w:jc w:val="left"/>
            </w:pPr>
            <w: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w:t>
            </w:r>
          </w:p>
        </w:tc>
        <w:tc>
          <w:tcPr>
            <w:tcW w:w="1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46,260</w:t>
            </w:r>
          </w:p>
        </w:tc>
        <w:tc>
          <w:tcPr>
            <w:tcW w:w="14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pPr>
            <w: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47,033</w:t>
            </w:r>
          </w:p>
        </w:tc>
        <w:tc>
          <w:tcPr>
            <w:tcW w:w="1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47,058</w:t>
            </w:r>
          </w:p>
        </w:tc>
        <w:tc>
          <w:tcPr>
            <w:tcW w:w="14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41,988</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generated non-GAAP net income of $9.1 million and $16.8 million, or $0.20 and $0.36 per share, </w:t>
      </w:r>
      <w:r>
        <w:rPr>
          <w:rFonts w:ascii="Times New Roman;Times;serif" w:hAnsi="Times New Roman;Times;serif"/>
          <w:sz w:val="20"/>
          <w:shd w:fill="FFFFFF" w:val="clear"/>
        </w:rPr>
        <w:t>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2026</w:t>
      </w:r>
      <w:r>
        <w:rPr>
          <w:rFonts w:ascii="Times New Roman;Times;serif" w:hAnsi="Times New Roman;Times;serif"/>
          <w:sz w:val="20"/>
          <w:shd w:fill="FFFFFF" w:val="clear"/>
        </w:rPr>
        <w:t>, respectively, compared to a non-GAAP net income of $8.9 million and $20.4 million, or $0.20 and $0.50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2025</w:t>
      </w:r>
      <w:r>
        <w:rPr>
          <w:rFonts w:ascii="Times New Roman;Times;serif" w:hAnsi="Times New Roman;Times;serif"/>
          <w:sz w:val="20"/>
          <w:shd w:fill="FFFFFF" w:val="clear"/>
        </w:rPr>
        <w:t>, respectively. For the three months ended September 30, 2026, the increase in Non-GAAP net income was primarily driven by higher revenues and operating income. For the six months ended September 30, 2026, the decrease in Non-GAAP net income was a result of lower gross margins. </w:t>
      </w:r>
    </w:p>
    <w:p>
      <w:pPr>
        <w:pStyle w:val="TextBody"/>
        <w:bidi w:val="0"/>
        <w:spacing w:before="0" w:after="0"/>
        <w:ind w:left="0" w:right="0" w:firstLine="540"/>
        <w:jc w:val="both"/>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pPr>
      <w: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primary sources of liquidity are internally generated cash provided by operating activities, our cash and cash equivalents on hand, along with access to capital markets, including through our currently effective Registration Statements on Form S-3. We believe that these sources of liquidity are sufficient to meet both our short-term and reasonably foreseeable long-term requirements and obligations. As of September 30, 2026, we had cash, cash equivalents and restricted cash of $181.9 million, compared to $147.6 million as of March 31, 2026, an increase of $34.3 million. As of September 30, 2026, we had $24.0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pPr>
      <w:r>
        <w:t> </w:t>
      </w:r>
    </w:p>
    <w:tbl>
      <w:tblPr>
        <w:tblW w:w="7168" w:type="dxa"/>
        <w:jc w:val="left"/>
        <w:tblInd w:w="0" w:type="dxa"/>
        <w:tblLayout w:type="fixed"/>
        <w:tblCellMar>
          <w:top w:w="0" w:type="dxa"/>
          <w:left w:w="0" w:type="dxa"/>
          <w:bottom w:w="0" w:type="dxa"/>
          <w:right w:w="0" w:type="dxa"/>
        </w:tblCellMar>
      </w:tblPr>
      <w:tblGrid>
        <w:gridCol w:w="3890"/>
        <w:gridCol w:w="60"/>
        <w:gridCol w:w="256"/>
        <w:gridCol w:w="1428"/>
        <w:gridCol w:w="60"/>
        <w:gridCol w:w="60"/>
        <w:gridCol w:w="206"/>
        <w:gridCol w:w="1148"/>
        <w:gridCol w:w="60"/>
      </w:tblGrid>
      <w:tr>
        <w:tc>
          <w:tcPr>
            <w:tcW w:w="38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pPr>
            <w:r>
              <w:t> </w:t>
            </w:r>
          </w:p>
        </w:tc>
      </w:tr>
      <w:t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140,693</w:t>
            </w:r>
          </w:p>
        </w:tc>
        <w:tc>
          <w:tcPr>
            <w:tcW w:w="60" w:type="dxa"/>
            <w:tcBorders/>
            <w:shd w:fill="CCEEFF" w:val="clear"/>
            <w:vAlign w:val="center"/>
          </w:tcPr>
          <w:p>
            <w:pPr>
              <w:pStyle w:val="TableContents"/>
              <w:bidi w:val="0"/>
              <w:spacing w:before="0" w:after="283"/>
              <w:jc w:val="left"/>
            </w:pPr>
            <w:r>
              <w:t> </w:t>
            </w:r>
          </w:p>
        </w:tc>
      </w:tr>
      <w:t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pPr>
            <w: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6,860</w:t>
            </w:r>
          </w:p>
        </w:tc>
        <w:tc>
          <w:tcPr>
            <w:tcW w:w="60" w:type="dxa"/>
            <w:tcBorders/>
            <w:shd w:fill="FFFFFF" w:val="clear"/>
            <w:vAlign w:val="center"/>
          </w:tcPr>
          <w:p>
            <w:pPr>
              <w:pStyle w:val="TableContents"/>
              <w:bidi w:val="0"/>
              <w:spacing w:before="0" w:after="283"/>
              <w:jc w:val="left"/>
            </w:pPr>
            <w:r>
              <w:t> </w:t>
            </w:r>
          </w:p>
        </w:tc>
      </w:tr>
      <w:t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pPr>
            <w: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181,903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147,553</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555"/>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2026, net cash provided by operating activities was $48.7 million, compared to $10.6 million for the six months ended September 30, 2025. The increase in cash flows provided by operating activities in the six months ended September 30, 2026 was due primarily to changes in deferred revenue, inventory, prepaid expenses and other current assets, and changes in fair value consideration relating to contingent consideration.</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2026, net cash used in investing activities was $14.5 million, compared to $2.1 million for the six months ended September 30, 2025. The increase in net cash used in investing activities was primarily due to cash paid for the purchase of property, plant and equipment in the current year.</w:t>
      </w:r>
    </w:p>
    <w:p>
      <w:pPr>
        <w:pStyle w:val="TextBody"/>
        <w:bidi w:val="0"/>
        <w:spacing w:before="0" w:after="0"/>
        <w:ind w:left="144" w:right="144"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2026, net cash provided by financing activities was $0.2 million. For the six months ended September 30, 2025, net cash provided by financing activities was $124.8 million. The decrease in net cash provided by financing activities was due primarily to the equity raise in June 2025.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September 30, 2026, we had $4.7 million of restricted cash included in long-term assets and $7.3 million of restricted cash included in current assets. At March 31, 2026, we had $3.3 million of restricted cash included in long-term assets and $3.5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September 30, 2026, while others are considered future commitments. We have various contractual arrangements, under which we have committed to purchase certain minimum quantities of goods or services on an annual basis. For information regarding our other contractual obligations, refer to Note 3, "Revenue Recognition," Note 14, "Contingent Consideration," Note 15, "Leases" and Note 16, "Commitments and Contingencies" to our condensed consolidated financial statements included elsewhere in this Quarterly Report on Form 10-Q. Other than the contingent consideration owed to the former Comtrafo stockholders there have been no material changes to our contractual obligations from those disclosed in our Annual Report on Form 10-K for the fiscal year ended March 31, 2026.</w:t>
      </w:r>
    </w:p>
    <w:p>
      <w:pPr>
        <w:pStyle w:val="TextBody"/>
        <w:bidi w:val="0"/>
        <w:spacing w:before="0" w:after="0"/>
        <w:ind w:left="0" w:right="0" w:firstLine="720"/>
        <w:jc w:val="both"/>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at least the next twelve months and into the future.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the ongoing conflicts between Russia and Ukraine and in the Middle East, tariffs, trade restrictions and resulting trade conflicts, instability of financial institutions and political instability in the United States, on the global financial markets may reduce our ability to raise additional capital, if necessary, which could negatively impact our liquidity.</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2024-03,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We are evaluating the impact on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the FASB issued ASU 2025-06,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Internal-Use Software</w:t>
      </w:r>
      <w:r>
        <w:rPr>
          <w:rFonts w:ascii="Times New Roman" w:hAnsi="Times New Roman"/>
          <w:caps w:val="false"/>
          <w:smallCaps w:val="false"/>
          <w:sz w:val="20"/>
        </w:rPr>
        <w:t>. The amendments in ASU 2025-06 remove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Following the release of ASU </w:t>
      </w:r>
      <w:r>
        <w:rPr>
          <w:rFonts w:ascii="Times New Roman" w:hAnsi="Times New Roman"/>
          <w:i/>
          <w:caps w:val="false"/>
          <w:smallCaps w:val="false"/>
          <w:sz w:val="20"/>
        </w:rPr>
        <w:t>2025-06</w:t>
      </w:r>
      <w:r>
        <w:rPr>
          <w:rFonts w:ascii="Times New Roman" w:hAnsi="Times New Roman"/>
          <w:caps w:val="false"/>
          <w:smallCaps w:val="false"/>
          <w:sz w:val="20"/>
        </w:rPr>
        <w:t> in September 2025, the effective date will be annual reporting periods beginning after December 15, 2027. We are evaluating the impact on our consolidated financial statements.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tbl>
      <w:tblPr>
        <w:tblW w:w="7705" w:type="dxa"/>
        <w:jc w:val="left"/>
        <w:tblInd w:w="0" w:type="dxa"/>
        <w:tblLayout w:type="fixed"/>
        <w:tblCellMar>
          <w:top w:w="0" w:type="dxa"/>
          <w:left w:w="0" w:type="dxa"/>
          <w:bottom w:w="0" w:type="dxa"/>
          <w:right w:w="0" w:type="dxa"/>
        </w:tblCellMar>
      </w:tblPr>
      <w:tblGrid>
        <w:gridCol w:w="740"/>
        <w:gridCol w:w="6965"/>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exposure to market risk through financial instruments, such as short-term cash instruments with maturities of three months or less, is limited to interest rate risk and is not material. Our investments in marketable securities consist primarily of money market accounts and short-term certificates of deposit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operations.</w:t>
      </w:r>
    </w:p>
    <w:p>
      <w:pPr>
        <w:pStyle w:val="TextBody"/>
        <w:bidi w:val="0"/>
        <w:spacing w:before="0" w:after="0"/>
        <w:ind w:left="0" w:right="0" w:firstLine="720"/>
        <w:jc w:val="both"/>
      </w:pPr>
      <w: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functional currency of each of our foreign subsidiaries is the U.S. dollar, except for AMSC Austria (Euro), AMSC Brazil and Comtrafo (Real), for which the local currencies are the functional currency. The assets and liabilities of AMSC Austria, AMSC Brazil and Comtrafo are translated into U.S. dollars at the exchange rate in effect at the balance sheet date and income and expense items are translated at average rates for the period. Cumulative translation adjustments are excluded from net income and shown as a separate component of stockholders’ equity.</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AMSC Brazil, or Comtrafo were to fluctuate by 10% the net effect would be immaterial to our consolidated financial statements.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Foreign currency gains (losses) are included in net income and were a loss of $0.6 million and $1.3 million for the three and six months ended September 30, 2026, respectively, and a gain of $0.3 million for both the three and six months ended September 30, 2025.</w:t>
      </w:r>
    </w:p>
    <w:p>
      <w:pPr>
        <w:pStyle w:val="TextBody"/>
        <w:bidi w:val="0"/>
        <w:spacing w:before="0" w:after="0"/>
        <w:ind w:left="0" w:right="0" w:firstLine="720"/>
        <w:jc w:val="both"/>
      </w:pPr>
      <w:r>
        <w:t> </w:t>
      </w:r>
    </w:p>
    <w:tbl>
      <w:tblPr>
        <w:tblW w:w="3655" w:type="dxa"/>
        <w:jc w:val="left"/>
        <w:tblInd w:w="0" w:type="dxa"/>
        <w:tblLayout w:type="fixed"/>
        <w:tblCellMar>
          <w:top w:w="0" w:type="dxa"/>
          <w:left w:w="0" w:type="dxa"/>
          <w:bottom w:w="0" w:type="dxa"/>
          <w:right w:w="0" w:type="dxa"/>
        </w:tblCellMar>
      </w:tblPr>
      <w:tblGrid>
        <w:gridCol w:w="740"/>
        <w:gridCol w:w="2915"/>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September 30, 2026</w:t>
      </w:r>
      <w:r>
        <w:rPr>
          <w:rFonts w:ascii="Times New Roman;Times;serif" w:hAnsi="Times New Roman;Times;serif"/>
          <w:sz w:val="20"/>
        </w:rPr>
        <w: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such evaluation, our Chief Executive Officer and Chief Financial Officer have concluded that our disclosure controls and procedures were effective at the reasonable level as of September 30, 2026.</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b/>
          <w:sz w:val="20"/>
          <w:u w:val="single"/>
        </w:rPr>
      </w:pPr>
      <w:r>
        <w:rPr>
          <w:rFonts w:ascii="Times New Roman;Times;serif" w:hAnsi="Times New Roman;Times;serif"/>
          <w:b/>
          <w:sz w:val="20"/>
          <w:u w:val="single"/>
        </w:rPr>
        <w:t>Material Weakness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During the fourth quarter of fiscal 2025, in connection with the preparation of our financial statements for our Annual Report on Form 10-K for the year ended March 31, 2026, management identified the following material weakness: We did not maintain effective internal controls over the preparation and review of the initial purchase accounting and the continuing fair value accounting associated with the Comtrafo Acquisition to ensure the accurate and timely reporting of our financial results related to this acquisition. Specifically, errors went undetected in amounts initially recorded to the opening balance sheet due to controls not operating at the appropriate level of precision during management's review process which could have led to a reasonable possibility of material misstatement to account balances or disclosures.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first and second quarters of fiscal 2026, our management, with the oversight of our audit committee, initiated steps to remediate the underlying causes of the material weakness, which have been primarily through the development and implementation of new levels of precision of management review controls around business acquisitions. In the three and six months ended September 30, 2026, management has performed additional levels of review around areas of significant judgement and material balances. </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second quarter of fiscal 2026, management implemented new procedures, policies, and processes, including revising the precision level of management review controls and additional level of review procedures around significant areas of judgements and material balances in order to remediate the material weakness. During this same quarter, we completed our testing of the operating effectiveness of the implemented controls and found them to be effective. As a result, we have concluded that the material weakness has been remediated as of September 30, 2026. </w:t>
      </w:r>
    </w:p>
    <w:p>
      <w:pPr>
        <w:pStyle w:val="TextBody"/>
        <w:bidi w:val="0"/>
        <w:spacing w:before="0" w:after="0"/>
        <w:ind w:left="144" w:right="144" w:hanging="0"/>
        <w:jc w:val="both"/>
      </w:pPr>
      <w: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than the changes related to our material weakness remediation efforts and new procedures associated with business combinations, initial purchase accounting and continuing fair value accounting specifically as described above, there were no changes to our internal control over financial reporting (as defined in Rules 13a-15(f) and 15d-15(f) under the Exchange Act) during the quarter ended </w:t>
      </w:r>
      <w:r>
        <w:rPr>
          <w:rFonts w:ascii="Times New Roman;Times;serif" w:hAnsi="Times New Roman;Times;serif"/>
          <w:sz w:val="20"/>
          <w:shd w:fill="FFFFFF" w:val="clear"/>
        </w:rPr>
        <w:t>September 30, 2026</w:t>
      </w:r>
      <w:r>
        <w:rPr>
          <w:rFonts w:ascii="Times New Roman;Times;serif" w:hAnsi="Times New Roman;Times;serif"/>
          <w:sz w:val="20"/>
        </w:rPr>
        <w:t> that have materially affected, or are reasonably likely to materially affect, our internal control over financial reporting.</w:t>
      </w:r>
    </w:p>
    <w:p>
      <w:pPr>
        <w:pStyle w:val="TextBody"/>
        <w:bidi w:val="0"/>
        <w:spacing w:before="0" w:after="0"/>
        <w:ind w:left="0" w:right="0" w:firstLine="540"/>
        <w:jc w:val="both"/>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pPr>
      <w:r>
        <w:t> </w:t>
      </w:r>
    </w:p>
    <w:tbl>
      <w:tblPr>
        <w:tblW w:w="2905" w:type="dxa"/>
        <w:jc w:val="left"/>
        <w:tblInd w:w="0" w:type="dxa"/>
        <w:tblLayout w:type="fixed"/>
        <w:tblCellMar>
          <w:top w:w="0" w:type="dxa"/>
          <w:left w:w="0" w:type="dxa"/>
          <w:bottom w:w="0" w:type="dxa"/>
          <w:right w:w="0" w:type="dxa"/>
        </w:tblCellMar>
      </w:tblPr>
      <w:tblGrid>
        <w:gridCol w:w="740"/>
        <w:gridCol w:w="2165"/>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pPr>
      <w:r>
        <w:t> </w:t>
      </w:r>
    </w:p>
    <w:tbl>
      <w:tblPr>
        <w:tblW w:w="2320" w:type="dxa"/>
        <w:jc w:val="left"/>
        <w:tblInd w:w="0" w:type="dxa"/>
        <w:tblLayout w:type="fixed"/>
        <w:tblCellMar>
          <w:top w:w="0" w:type="dxa"/>
          <w:left w:w="0" w:type="dxa"/>
          <w:bottom w:w="0" w:type="dxa"/>
          <w:right w:w="0" w:type="dxa"/>
        </w:tblCellMar>
      </w:tblPr>
      <w:tblGrid>
        <w:gridCol w:w="875"/>
        <w:gridCol w:w="1445"/>
      </w:tblGrid>
      <w:t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2026, filed with the SEC on May 27, 2026.</w:t>
      </w:r>
    </w:p>
    <w:p>
      <w:pPr>
        <w:pStyle w:val="TextBody"/>
        <w:bidi w:val="0"/>
        <w:spacing w:before="0" w:after="0"/>
        <w:ind w:left="0" w:right="0" w:firstLine="720"/>
        <w:jc w:val="both"/>
      </w:pPr>
      <w:r>
        <w:t> </w:t>
      </w:r>
    </w:p>
    <w:tbl>
      <w:tblPr>
        <w:tblW w:w="7585" w:type="dxa"/>
        <w:jc w:val="left"/>
        <w:tblInd w:w="0" w:type="dxa"/>
        <w:tblLayout w:type="fixed"/>
        <w:tblCellMar>
          <w:top w:w="0" w:type="dxa"/>
          <w:left w:w="0" w:type="dxa"/>
          <w:bottom w:w="0" w:type="dxa"/>
          <w:right w:w="0" w:type="dxa"/>
        </w:tblCellMar>
      </w:tblPr>
      <w:tblGrid>
        <w:gridCol w:w="740"/>
        <w:gridCol w:w="6845"/>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September 30, 2026</w:t>
      </w:r>
      <w:r>
        <w:rPr>
          <w:rFonts w:ascii="Times New Roman;Times;serif" w:hAnsi="Times New Roman;Times;serif"/>
          <w:sz w:val="20"/>
        </w:rPr>
        <w:t xml:space="preserve"> was as follows:</w:t>
      </w:r>
    </w:p>
    <w:p>
      <w:pPr>
        <w:pStyle w:val="TextBody"/>
        <w:bidi w:val="0"/>
        <w:spacing w:before="0" w:after="0"/>
        <w:ind w:left="0" w:right="0" w:firstLine="720"/>
        <w:jc w:val="both"/>
      </w:pPr>
      <w:r>
        <w:t> </w:t>
      </w:r>
    </w:p>
    <w:tbl>
      <w:tblPr>
        <w:tblW w:w="9426" w:type="dxa"/>
        <w:jc w:val="left"/>
        <w:tblInd w:w="0" w:type="dxa"/>
        <w:tblLayout w:type="fixed"/>
        <w:tblCellMar>
          <w:top w:w="0" w:type="dxa"/>
          <w:left w:w="0" w:type="dxa"/>
          <w:bottom w:w="28" w:type="dxa"/>
          <w:right w:w="0" w:type="dxa"/>
        </w:tblCellMar>
      </w:tblPr>
      <w:tblGrid>
        <w:gridCol w:w="3305"/>
        <w:gridCol w:w="60"/>
        <w:gridCol w:w="227"/>
        <w:gridCol w:w="992"/>
        <w:gridCol w:w="60"/>
        <w:gridCol w:w="60"/>
        <w:gridCol w:w="168"/>
        <w:gridCol w:w="736"/>
        <w:gridCol w:w="60"/>
        <w:gridCol w:w="60"/>
        <w:gridCol w:w="294"/>
        <w:gridCol w:w="1285"/>
        <w:gridCol w:w="60"/>
        <w:gridCol w:w="60"/>
        <w:gridCol w:w="362"/>
        <w:gridCol w:w="1577"/>
        <w:gridCol w:w="60"/>
      </w:tblGrid>
      <w:tr>
        <w:tc>
          <w:tcPr>
            <w:tcW w:w="33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pPr>
            <w: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pPr>
            <w:r>
              <w:t> </w:t>
            </w:r>
          </w:p>
        </w:tc>
      </w:tr>
      <w:t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2026 - July 31, 2026</w:t>
            </w:r>
          </w:p>
        </w:tc>
        <w:tc>
          <w:tcPr>
            <w:tcW w:w="60" w:type="dxa"/>
            <w:tcBorders/>
            <w:shd w:fill="CCEEFF" w:val="clear"/>
            <w:tcMar>
              <w:bottom w:w="0" w:type="dxa"/>
            </w:tcMar>
            <w:vAlign w:val="center"/>
          </w:tcPr>
          <w:p>
            <w:pPr>
              <w:pStyle w:val="TableContents"/>
              <w:bidi w:val="0"/>
              <w:spacing w:before="0" w:after="283"/>
              <w:jc w:val="left"/>
            </w:pPr>
            <w:r>
              <w:t> </w:t>
            </w:r>
          </w:p>
        </w:tc>
        <w:tc>
          <w:tcPr>
            <w:tcW w:w="227" w:type="dxa"/>
            <w:tcBorders/>
            <w:shd w:fill="CCEEFF" w:val="clear"/>
            <w:tcMar>
              <w:bottom w:w="0" w:type="dxa"/>
            </w:tcMar>
            <w:vAlign w:val="center"/>
          </w:tcPr>
          <w:p>
            <w:pPr>
              <w:pStyle w:val="TableContents"/>
              <w:bidi w:val="0"/>
              <w:spacing w:before="0" w:after="283"/>
              <w:jc w:val="left"/>
            </w:pPr>
            <w:r>
              <w:t> </w:t>
            </w:r>
          </w:p>
        </w:tc>
        <w:tc>
          <w:tcPr>
            <w:tcW w:w="992" w:type="dxa"/>
            <w:tcBorders/>
            <w:shd w:fill="CCEEFF" w:val="clear"/>
            <w:tcMar>
              <w:bottom w:w="0" w:type="dxa"/>
            </w:tcMar>
            <w:vAlign w:val="center"/>
          </w:tcPr>
          <w:p>
            <w:pPr>
              <w:pStyle w:val="TableContents"/>
              <w:bidi w:val="0"/>
              <w:spacing w:before="0" w:after="283"/>
              <w:ind w:left="0" w:right="0" w:hanging="0"/>
              <w:jc w:val="center"/>
            </w:pPr>
            <w:r>
              <w:t>—</w:t>
            </w:r>
          </w:p>
        </w:tc>
        <w:tc>
          <w:tcPr>
            <w:tcW w:w="60"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center"/>
            </w:pPr>
            <w:r>
              <w:t> </w:t>
            </w:r>
          </w:p>
        </w:tc>
        <w:tc>
          <w:tcPr>
            <w:tcW w:w="168" w:type="dxa"/>
            <w:tcBorders/>
            <w:shd w:fill="CCEEFF" w:val="clear"/>
            <w:tcMar>
              <w:bottom w:w="0" w:type="dxa"/>
            </w:tcMar>
            <w:vAlign w:val="center"/>
          </w:tcPr>
          <w:p>
            <w:pPr>
              <w:pStyle w:val="TableContents"/>
              <w:bidi w:val="0"/>
              <w:spacing w:before="0" w:after="283"/>
              <w:jc w:val="center"/>
            </w:pPr>
            <w:r>
              <w:t> </w:t>
            </w:r>
          </w:p>
        </w:tc>
        <w:tc>
          <w:tcPr>
            <w:tcW w:w="736" w:type="dxa"/>
            <w:tcBorders/>
            <w:shd w:fill="CCEEFF" w:val="clear"/>
            <w:tcMar>
              <w:bottom w:w="0" w:type="dxa"/>
            </w:tcMar>
            <w:vAlign w:val="center"/>
          </w:tcPr>
          <w:p>
            <w:pPr>
              <w:pStyle w:val="TableContents"/>
              <w:bidi w:val="0"/>
              <w:spacing w:before="0" w:after="283"/>
              <w:ind w:left="0" w:right="0" w:hanging="0"/>
              <w:jc w:val="center"/>
            </w:pPr>
            <w:r>
              <w:t>—</w:t>
            </w:r>
          </w:p>
        </w:tc>
        <w:tc>
          <w:tcPr>
            <w:tcW w:w="60"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center"/>
            </w:pPr>
            <w:r>
              <w:t> </w:t>
            </w:r>
          </w:p>
        </w:tc>
        <w:tc>
          <w:tcPr>
            <w:tcW w:w="294" w:type="dxa"/>
            <w:tcBorders/>
            <w:shd w:fill="CCEEFF" w:val="clear"/>
            <w:tcMar>
              <w:bottom w:w="0" w:type="dxa"/>
            </w:tcMar>
            <w:vAlign w:val="center"/>
          </w:tcPr>
          <w:p>
            <w:pPr>
              <w:pStyle w:val="TableContents"/>
              <w:bidi w:val="0"/>
              <w:spacing w:before="0" w:after="283"/>
              <w:jc w:val="center"/>
            </w:pPr>
            <w:r>
              <w:t> </w:t>
            </w:r>
          </w:p>
        </w:tc>
        <w:tc>
          <w:tcPr>
            <w:tcW w:w="1285" w:type="dxa"/>
            <w:tcBorders/>
            <w:shd w:fill="CCEEFF" w:val="clear"/>
            <w:tcMar>
              <w:bottom w:w="0" w:type="dxa"/>
            </w:tcMar>
            <w:vAlign w:val="center"/>
          </w:tcPr>
          <w:p>
            <w:pPr>
              <w:pStyle w:val="TableContents"/>
              <w:bidi w:val="0"/>
              <w:spacing w:before="0" w:after="283"/>
              <w:ind w:left="0" w:right="0" w:hanging="0"/>
              <w:jc w:val="center"/>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62" w:type="dxa"/>
            <w:tcBorders/>
            <w:shd w:fill="CCEEFF" w:val="clear"/>
            <w:tcMar>
              <w:bottom w:w="0" w:type="dxa"/>
            </w:tcMar>
            <w:vAlign w:val="center"/>
          </w:tcPr>
          <w:p>
            <w:pPr>
              <w:pStyle w:val="TableContents"/>
              <w:bidi w:val="0"/>
              <w:spacing w:before="0" w:after="283"/>
              <w:jc w:val="left"/>
            </w:pPr>
            <w:r>
              <w:t> </w:t>
            </w:r>
          </w:p>
        </w:tc>
        <w:tc>
          <w:tcPr>
            <w:tcW w:w="1577" w:type="dxa"/>
            <w:tcBorders/>
            <w:shd w:fill="CCEEFF" w:val="clear"/>
            <w:tcMar>
              <w:bottom w:w="0" w:type="dxa"/>
            </w:tcMar>
            <w:vAlign w:val="center"/>
          </w:tcPr>
          <w:p>
            <w:pPr>
              <w:pStyle w:val="TableContents"/>
              <w:bidi w:val="0"/>
              <w:spacing w:before="0" w:after="283"/>
              <w:jc w:val="center"/>
            </w:pPr>
            <w:r>
              <w:t>—</w:t>
            </w:r>
          </w:p>
        </w:tc>
        <w:tc>
          <w:tcPr>
            <w:tcW w:w="60" w:type="dxa"/>
            <w:tcBorders/>
            <w:shd w:fill="CCEEFF" w:val="clear"/>
            <w:tcMar>
              <w:bottom w:w="0" w:type="dxa"/>
            </w:tcMar>
            <w:vAlign w:val="center"/>
          </w:tcPr>
          <w:p>
            <w:pPr>
              <w:pStyle w:val="TableContents"/>
              <w:bidi w:val="0"/>
              <w:spacing w:before="0" w:after="283"/>
              <w:jc w:val="left"/>
            </w:pPr>
            <w:r>
              <w:t> </w:t>
            </w:r>
          </w:p>
        </w:tc>
      </w:tr>
      <w:t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2026 - August 31, 2026</w:t>
            </w:r>
          </w:p>
        </w:tc>
        <w:tc>
          <w:tcPr>
            <w:tcW w:w="60" w:type="dxa"/>
            <w:tcBorders/>
            <w:shd w:fill="FFFFFF" w:val="clear"/>
            <w:tcMar>
              <w:bottom w:w="0" w:type="dxa"/>
            </w:tcMar>
            <w:vAlign w:val="center"/>
          </w:tcPr>
          <w:p>
            <w:pPr>
              <w:pStyle w:val="TableContents"/>
              <w:bidi w:val="0"/>
              <w:spacing w:before="0" w:after="283"/>
              <w:jc w:val="left"/>
            </w:pPr>
            <w:r>
              <w:t> </w:t>
            </w:r>
          </w:p>
        </w:tc>
        <w:tc>
          <w:tcPr>
            <w:tcW w:w="227" w:type="dxa"/>
            <w:tcBorders/>
            <w:shd w:fill="FFFFFF" w:val="clear"/>
            <w:tcMar>
              <w:bottom w:w="0" w:type="dxa"/>
            </w:tcMar>
            <w:vAlign w:val="center"/>
          </w:tcPr>
          <w:p>
            <w:pPr>
              <w:pStyle w:val="TableContents"/>
              <w:bidi w:val="0"/>
              <w:spacing w:before="0" w:after="283"/>
              <w:jc w:val="left"/>
            </w:pPr>
            <w:r>
              <w:t> </w:t>
            </w:r>
          </w:p>
        </w:tc>
        <w:tc>
          <w:tcPr>
            <w:tcW w:w="992" w:type="dxa"/>
            <w:tcBorders/>
            <w:shd w:fill="FFFFFF" w:val="clear"/>
            <w:tcMar>
              <w:bottom w:w="0" w:type="dxa"/>
            </w:tcM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center"/>
            </w:pPr>
            <w:r>
              <w:t> </w:t>
            </w:r>
          </w:p>
        </w:tc>
        <w:tc>
          <w:tcPr>
            <w:tcW w:w="168" w:type="dxa"/>
            <w:tcBorders/>
            <w:shd w:fill="FFFFFF" w:val="clear"/>
            <w:tcMar>
              <w:bottom w:w="0" w:type="dxa"/>
            </w:tcMar>
            <w:vAlign w:val="center"/>
          </w:tcPr>
          <w:p>
            <w:pPr>
              <w:pStyle w:val="TableContents"/>
              <w:bidi w:val="0"/>
              <w:spacing w:before="0" w:after="283"/>
              <w:jc w:val="center"/>
            </w:pPr>
            <w:r>
              <w:t> </w:t>
            </w:r>
          </w:p>
        </w:tc>
        <w:tc>
          <w:tcPr>
            <w:tcW w:w="736" w:type="dxa"/>
            <w:tcBorders/>
            <w:shd w:fill="FFFFFF" w:val="clear"/>
            <w:tcMar>
              <w:bottom w:w="0" w:type="dxa"/>
            </w:tcM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center"/>
            </w:pPr>
            <w:r>
              <w:t> </w:t>
            </w:r>
          </w:p>
        </w:tc>
        <w:tc>
          <w:tcPr>
            <w:tcW w:w="294" w:type="dxa"/>
            <w:tcBorders/>
            <w:shd w:fill="FFFFFF" w:val="clear"/>
            <w:tcMar>
              <w:bottom w:w="0" w:type="dxa"/>
            </w:tcMar>
            <w:vAlign w:val="center"/>
          </w:tcPr>
          <w:p>
            <w:pPr>
              <w:pStyle w:val="TableContents"/>
              <w:bidi w:val="0"/>
              <w:spacing w:before="0" w:after="283"/>
              <w:jc w:val="center"/>
            </w:pPr>
            <w:r>
              <w:t> </w:t>
            </w:r>
          </w:p>
        </w:tc>
        <w:tc>
          <w:tcPr>
            <w:tcW w:w="1285" w:type="dxa"/>
            <w:tcBorders/>
            <w:shd w:fill="FFFFFF" w:val="clear"/>
            <w:tcMar>
              <w:bottom w:w="0" w:type="dxa"/>
            </w:tcM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62" w:type="dxa"/>
            <w:tcBorders/>
            <w:shd w:fill="FFFFFF" w:val="clear"/>
            <w:tcMar>
              <w:bottom w:w="0" w:type="dxa"/>
            </w:tcMar>
            <w:vAlign w:val="center"/>
          </w:tcPr>
          <w:p>
            <w:pPr>
              <w:pStyle w:val="TableContents"/>
              <w:bidi w:val="0"/>
              <w:spacing w:before="0" w:after="283"/>
              <w:jc w:val="left"/>
            </w:pPr>
            <w:r>
              <w:t> </w:t>
            </w:r>
          </w:p>
        </w:tc>
        <w:tc>
          <w:tcPr>
            <w:tcW w:w="1577" w:type="dxa"/>
            <w:tcBorders/>
            <w:shd w:fill="FFFFFF" w:val="clear"/>
            <w:tcMar>
              <w:bottom w:w="0" w:type="dxa"/>
            </w:tcM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left"/>
            </w:pPr>
            <w:r>
              <w:t> </w:t>
            </w:r>
          </w:p>
        </w:tc>
      </w:tr>
      <w:t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 2026 - September 30, 2026</w:t>
            </w:r>
          </w:p>
        </w:tc>
        <w:tc>
          <w:tcPr>
            <w:tcW w:w="60" w:type="dxa"/>
            <w:tcBorders/>
            <w:shd w:fill="CCEEFF" w:val="clear"/>
            <w:tcMar>
              <w:bottom w:w="0" w:type="dxa"/>
            </w:tcMar>
            <w:vAlign w:val="center"/>
          </w:tcPr>
          <w:p>
            <w:pPr>
              <w:pStyle w:val="TableContents"/>
              <w:bidi w:val="0"/>
              <w:spacing w:before="0" w:after="283"/>
              <w:jc w:val="left"/>
            </w:pPr>
            <w:r>
              <w:t> </w:t>
            </w:r>
          </w:p>
        </w:tc>
        <w:tc>
          <w:tcPr>
            <w:tcW w:w="227" w:type="dxa"/>
            <w:tcBorders>
              <w:bottom w:val="single" w:sz="2" w:space="0" w:color="000000"/>
            </w:tcBorders>
            <w:shd w:fill="CCEEFF" w:val="clear"/>
            <w:vAlign w:val="center"/>
          </w:tcPr>
          <w:p>
            <w:pPr>
              <w:pStyle w:val="TableContents"/>
              <w:bidi w:val="0"/>
              <w:spacing w:before="0" w:after="283"/>
              <w:jc w:val="left"/>
            </w:pPr>
            <w: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pPr>
            <w:r>
              <w:t>—</w:t>
            </w:r>
          </w:p>
        </w:tc>
        <w:tc>
          <w:tcPr>
            <w:tcW w:w="60"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center"/>
            </w:pPr>
            <w:r>
              <w:t> </w:t>
            </w:r>
          </w:p>
        </w:tc>
        <w:tc>
          <w:tcPr>
            <w:tcW w:w="168" w:type="dxa"/>
            <w:tcBorders>
              <w:bottom w:val="single" w:sz="2" w:space="0" w:color="000000"/>
            </w:tcBorders>
            <w:shd w:fill="CCEEFF" w:val="clear"/>
            <w:vAlign w:val="center"/>
          </w:tcPr>
          <w:p>
            <w:pPr>
              <w:pStyle w:val="TableContents"/>
              <w:bidi w:val="0"/>
              <w:spacing w:before="0" w:after="283"/>
              <w:jc w:val="center"/>
            </w:pPr>
            <w: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pPr>
            <w:r>
              <w:t>—</w:t>
            </w:r>
          </w:p>
        </w:tc>
        <w:tc>
          <w:tcPr>
            <w:tcW w:w="60" w:type="dxa"/>
            <w:tcBorders/>
            <w:shd w:fill="CCEEFF" w:val="clear"/>
            <w:tcMar>
              <w:bottom w:w="0" w:type="dxa"/>
            </w:tcMar>
            <w:vAlign w:val="center"/>
          </w:tcPr>
          <w:p>
            <w:pPr>
              <w:pStyle w:val="TableContents"/>
              <w:bidi w:val="0"/>
              <w:spacing w:before="0" w:after="283"/>
              <w:jc w:val="center"/>
            </w:pPr>
            <w:r>
              <w:t> </w:t>
            </w:r>
          </w:p>
        </w:tc>
        <w:tc>
          <w:tcPr>
            <w:tcW w:w="60" w:type="dxa"/>
            <w:tcBorders/>
            <w:shd w:fill="CCEEFF" w:val="clear"/>
            <w:tcMar>
              <w:bottom w:w="0" w:type="dxa"/>
            </w:tcMar>
            <w:vAlign w:val="center"/>
          </w:tcPr>
          <w:p>
            <w:pPr>
              <w:pStyle w:val="TableContents"/>
              <w:bidi w:val="0"/>
              <w:spacing w:before="0" w:after="283"/>
              <w:jc w:val="center"/>
            </w:pPr>
            <w:r>
              <w:t> </w:t>
            </w:r>
          </w:p>
        </w:tc>
        <w:tc>
          <w:tcPr>
            <w:tcW w:w="294" w:type="dxa"/>
            <w:tcBorders>
              <w:bottom w:val="single" w:sz="2" w:space="0" w:color="000000"/>
            </w:tcBorders>
            <w:shd w:fill="CCEEFF" w:val="clear"/>
            <w:vAlign w:val="center"/>
          </w:tcPr>
          <w:p>
            <w:pPr>
              <w:pStyle w:val="TableContents"/>
              <w:bidi w:val="0"/>
              <w:spacing w:before="0" w:after="283"/>
              <w:jc w:val="center"/>
            </w:pPr>
            <w: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62" w:type="dxa"/>
            <w:tcBorders>
              <w:bottom w:val="single" w:sz="2" w:space="0" w:color="000000"/>
            </w:tcBorders>
            <w:shd w:fill="CCEEFF" w:val="clear"/>
            <w:vAlign w:val="center"/>
          </w:tcPr>
          <w:p>
            <w:pPr>
              <w:pStyle w:val="TableContents"/>
              <w:bidi w:val="0"/>
              <w:spacing w:before="0" w:after="283"/>
              <w:jc w:val="left"/>
            </w:pPr>
            <w:r>
              <w:t> </w:t>
            </w:r>
          </w:p>
        </w:tc>
        <w:tc>
          <w:tcPr>
            <w:tcW w:w="1577" w:type="dxa"/>
            <w:tcBorders>
              <w:bottom w:val="single" w:sz="2" w:space="0" w:color="000000"/>
            </w:tcBorders>
            <w:shd w:fill="CCEEFF" w:val="clear"/>
            <w:vAlign w:val="center"/>
          </w:tcPr>
          <w:p>
            <w:pPr>
              <w:pStyle w:val="TableContents"/>
              <w:bidi w:val="0"/>
              <w:spacing w:before="0" w:after="283"/>
              <w:jc w:val="center"/>
            </w:pPr>
            <w:r>
              <w:t>—</w:t>
            </w:r>
          </w:p>
        </w:tc>
        <w:tc>
          <w:tcPr>
            <w:tcW w:w="60" w:type="dxa"/>
            <w:tcBorders/>
            <w:shd w:fill="CCEEFF" w:val="clear"/>
            <w:tcMar>
              <w:bottom w:w="0" w:type="dxa"/>
            </w:tcMar>
            <w:vAlign w:val="center"/>
          </w:tcPr>
          <w:p>
            <w:pPr>
              <w:pStyle w:val="TableContents"/>
              <w:bidi w:val="0"/>
              <w:spacing w:before="0" w:after="283"/>
              <w:jc w:val="left"/>
            </w:pPr>
            <w:r>
              <w:t> </w:t>
            </w:r>
          </w:p>
        </w:tc>
      </w:tr>
      <w:t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vAlign w:val="center"/>
          </w:tcPr>
          <w:p>
            <w:pPr>
              <w:pStyle w:val="TableContents"/>
              <w:bidi w:val="0"/>
              <w:spacing w:before="0" w:after="283"/>
              <w:jc w:val="left"/>
            </w:pPr>
            <w: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center"/>
            </w:pPr>
            <w:r>
              <w:t> </w:t>
            </w:r>
          </w:p>
        </w:tc>
        <w:tc>
          <w:tcPr>
            <w:tcW w:w="168" w:type="dxa"/>
            <w:tcBorders>
              <w:bottom w:val="double" w:sz="6" w:space="0" w:color="000000"/>
            </w:tcBorders>
            <w:shd w:fill="FFFFFF" w:val="clear"/>
            <w:vAlign w:val="center"/>
          </w:tcPr>
          <w:p>
            <w:pPr>
              <w:pStyle w:val="TableContents"/>
              <w:bidi w:val="0"/>
              <w:spacing w:before="0" w:after="283"/>
              <w:jc w:val="center"/>
            </w:pPr>
            <w: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center"/>
            </w:pPr>
            <w:r>
              <w:t> </w:t>
            </w:r>
          </w:p>
        </w:tc>
        <w:tc>
          <w:tcPr>
            <w:tcW w:w="60" w:type="dxa"/>
            <w:tcBorders/>
            <w:shd w:fill="FFFFFF" w:val="clear"/>
            <w:tcMar>
              <w:bottom w:w="0" w:type="dxa"/>
            </w:tcMar>
            <w:vAlign w:val="center"/>
          </w:tcPr>
          <w:p>
            <w:pPr>
              <w:pStyle w:val="TableContents"/>
              <w:bidi w:val="0"/>
              <w:spacing w:before="0" w:after="283"/>
              <w:jc w:val="center"/>
            </w:pPr>
            <w:r>
              <w:t> </w:t>
            </w:r>
          </w:p>
        </w:tc>
        <w:tc>
          <w:tcPr>
            <w:tcW w:w="294" w:type="dxa"/>
            <w:tcBorders>
              <w:bottom w:val="double" w:sz="6" w:space="0" w:color="000000"/>
            </w:tcBorders>
            <w:shd w:fill="FFFFFF" w:val="clear"/>
            <w:vAlign w:val="center"/>
          </w:tcPr>
          <w:p>
            <w:pPr>
              <w:pStyle w:val="TableContents"/>
              <w:bidi w:val="0"/>
              <w:spacing w:before="0" w:after="283"/>
              <w:jc w:val="center"/>
            </w:pPr>
            <w: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pPr>
            <w: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62" w:type="dxa"/>
            <w:tcBorders>
              <w:bottom w:val="double" w:sz="6" w:space="0" w:color="000000"/>
            </w:tcBorders>
            <w:shd w:fill="FFFFFF" w:val="clear"/>
            <w:vAlign w:val="center"/>
          </w:tcPr>
          <w:p>
            <w:pPr>
              <w:pStyle w:val="TableContents"/>
              <w:bidi w:val="0"/>
              <w:spacing w:before="0" w:after="283"/>
              <w:jc w:val="left"/>
            </w:pPr>
            <w:r>
              <w:t> </w:t>
            </w:r>
          </w:p>
        </w:tc>
        <w:tc>
          <w:tcPr>
            <w:tcW w:w="1577" w:type="dxa"/>
            <w:tcBorders>
              <w:bottom w:val="double" w:sz="6" w:space="0" w:color="000000"/>
            </w:tcBorders>
            <w:shd w:fill="FFFFFF" w:val="clear"/>
            <w:vAlign w:val="center"/>
          </w:tcPr>
          <w:p>
            <w:pPr>
              <w:pStyle w:val="TableContents"/>
              <w:bidi w:val="0"/>
              <w:spacing w:before="0" w:after="283"/>
              <w:jc w:val="center"/>
            </w:pPr>
            <w:r>
              <w:t>—</w:t>
            </w:r>
          </w:p>
        </w:tc>
        <w:tc>
          <w:tcPr>
            <w:tcW w:w="60"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144" w:right="144" w:hanging="0"/>
        <w:jc w:val="left"/>
      </w:pPr>
      <w: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w:t>
      </w:r>
      <w:r>
        <w:rPr>
          <w:rFonts w:ascii="Times New Roman;Times;serif" w:hAnsi="Times New Roman;Times;serif"/>
          <w:sz w:val="20"/>
        </w:rPr>
        <w:t>we did not purchase shares in connection with our stock-based compensation plans.</w:t>
      </w:r>
    </w:p>
    <w:p>
      <w:pPr>
        <w:pStyle w:val="TextBody"/>
        <w:bidi w:val="0"/>
        <w:spacing w:before="0" w:after="0"/>
        <w:ind w:left="0" w:right="0" w:hanging="0"/>
        <w:jc w:val="both"/>
      </w:pPr>
      <w:r>
        <w:t> </w:t>
      </w:r>
    </w:p>
    <w:tbl>
      <w:tblPr>
        <w:tblW w:w="4375" w:type="dxa"/>
        <w:jc w:val="left"/>
        <w:tblInd w:w="0" w:type="dxa"/>
        <w:tblLayout w:type="fixed"/>
        <w:tblCellMar>
          <w:top w:w="0" w:type="dxa"/>
          <w:left w:w="0" w:type="dxa"/>
          <w:bottom w:w="0" w:type="dxa"/>
          <w:right w:w="0" w:type="dxa"/>
        </w:tblCellMar>
      </w:tblPr>
      <w:tblGrid>
        <w:gridCol w:w="740"/>
        <w:gridCol w:w="3635"/>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pPr>
      <w:r>
        <w:t> </w:t>
      </w:r>
    </w:p>
    <w:tbl>
      <w:tblPr>
        <w:tblW w:w="3490" w:type="dxa"/>
        <w:jc w:val="left"/>
        <w:tblInd w:w="0" w:type="dxa"/>
        <w:tblLayout w:type="fixed"/>
        <w:tblCellMar>
          <w:top w:w="0" w:type="dxa"/>
          <w:left w:w="0" w:type="dxa"/>
          <w:bottom w:w="0" w:type="dxa"/>
          <w:right w:w="0" w:type="dxa"/>
        </w:tblCellMar>
      </w:tblPr>
      <w:tblGrid>
        <w:gridCol w:w="740"/>
        <w:gridCol w:w="2750"/>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jc w:val="left"/>
      </w:pPr>
      <w: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c>
          <w:tcPr>
            <w:tcW w:w="740" w:type="dxa"/>
            <w:tcBorders/>
            <w:vAlign w:val="center"/>
          </w:tcPr>
          <w:p>
            <w:pPr>
              <w:pStyle w:val="TableContents"/>
              <w:bidi w:val="0"/>
              <w:spacing w:before="0" w:after="0"/>
              <w:ind w:left="0" w:right="0" w:hanging="0"/>
              <w:jc w:val="left"/>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pPr>
      <w:r>
        <w:t> </w:t>
      </w:r>
    </w:p>
    <w:p>
      <w:pPr>
        <w:pStyle w:val="TextBody"/>
        <w:bidi w:val="0"/>
        <w:spacing w:before="0" w:after="0"/>
        <w:ind w:left="160" w:right="0" w:firstLine="360"/>
        <w:jc w:val="both"/>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pPr>
      <w:r>
        <w:rPr>
          <w:rFonts w:ascii="Times New Roman" w:hAnsi="Times New Roman"/>
          <w:caps w:val="false"/>
          <w:smallCaps w:val="false"/>
          <w:sz w:val="20"/>
        </w:rPr>
        <w:t xml:space="preserve">(c)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 no</w:t>
      </w:r>
      <w:r>
        <w:rPr>
          <w:rFonts w:ascii="Times New Roman" w:hAnsi="Times New Roman"/>
          <w:caps w:val="false"/>
          <w:smallCaps w:val="false"/>
          <w:sz w:val="20"/>
        </w:rPr>
        <w:t xml:space="preserve">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pPr>
      <w:r>
        <w:t xml:space="preserve">  </w:t>
      </w:r>
    </w:p>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tbl>
      <w:tblPr>
        <w:tblW w:w="1705" w:type="dxa"/>
        <w:jc w:val="left"/>
        <w:tblInd w:w="0" w:type="dxa"/>
        <w:tblLayout w:type="fixed"/>
        <w:tblCellMar>
          <w:top w:w="0" w:type="dxa"/>
          <w:left w:w="0" w:type="dxa"/>
          <w:bottom w:w="0" w:type="dxa"/>
          <w:right w:w="0" w:type="dxa"/>
        </w:tblCellMar>
      </w:tblPr>
      <w:tblGrid>
        <w:gridCol w:w="740"/>
        <w:gridCol w:w="965"/>
      </w:tblGrid>
      <w:t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726"/>
        <w:gridCol w:w="60"/>
        <w:gridCol w:w="5986"/>
        <w:gridCol w:w="60"/>
        <w:gridCol w:w="500"/>
        <w:gridCol w:w="60"/>
        <w:gridCol w:w="440"/>
        <w:gridCol w:w="60"/>
        <w:gridCol w:w="650"/>
        <w:gridCol w:w="60"/>
        <w:gridCol w:w="530"/>
        <w:gridCol w:w="60"/>
        <w:gridCol w:w="1013"/>
      </w:tblGrid>
      <w:tr>
        <w:tc>
          <w:tcPr>
            <w:tcW w:w="7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373"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c>
          <w:tcPr>
            <w:tcW w:w="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pPr>
            <w:r>
              <w:t> </w:t>
            </w:r>
          </w:p>
        </w:tc>
        <w:tc>
          <w:tcPr>
            <w:tcW w:w="59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pPr>
            <w: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pPr>
            <w: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pPr>
            <w: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pPr>
            <w:r>
              <w:t> </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pPr>
            <w: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c>
          <w:tcPr>
            <w:tcW w:w="726"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13" w:type="dxa"/>
            <w:tcBorders/>
            <w:vAlign w:val="center"/>
          </w:tcPr>
          <w:p>
            <w:pPr>
              <w:pStyle w:val="TableContents"/>
              <w:bidi w:val="0"/>
              <w:spacing w:before="0" w:after="283"/>
              <w:jc w:val="left"/>
            </w:pPr>
            <w:r>
              <w:t> </w:t>
            </w:r>
          </w:p>
        </w:tc>
      </w:tr>
      <w:tr>
        <w:tc>
          <w:tcPr>
            <w:tcW w:w="726" w:type="dxa"/>
            <w:tcBorders/>
            <w:vAlign w:val="center"/>
          </w:tcPr>
          <w:p>
            <w:pPr>
              <w:pStyle w:val="TableContents"/>
              <w:bidi w:val="0"/>
              <w:spacing w:before="0" w:after="283"/>
              <w:jc w:val="center"/>
            </w:pPr>
            <w:r>
              <w:t>10.1</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0"/>
              <w:ind w:left="0" w:right="0" w:hanging="0"/>
              <w:jc w:val="left"/>
            </w:pPr>
            <w:hyperlink w:anchor="ex_1027907.htm">
              <w:r>
                <w:rPr>
                  <w:rStyle w:val="InternetLink"/>
                  <w:rFonts w:ascii="Times New Roman;Times;serif" w:hAnsi="Times New Roman;Times;serif"/>
                  <w:sz w:val="20"/>
                </w:rPr>
                <w:t>Amendment No. 2 to Stock Exchange Agreement, dated September 10, 2026, by and between Comtrafo Indústria de Transformadores Elétricos S.A., Mardin Participações Ltda., the stockholders and the other parties thereto.</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13" w:type="dxa"/>
            <w:tcBorders/>
            <w:vAlign w:val="center"/>
          </w:tcPr>
          <w:p>
            <w:pPr>
              <w:pStyle w:val="TableContents"/>
              <w:bidi w:val="0"/>
              <w:spacing w:before="0" w:after="283"/>
              <w:jc w:val="center"/>
            </w:pPr>
            <w:r>
              <w:t>*</w:t>
            </w:r>
          </w:p>
        </w:tc>
      </w:tr>
      <w:tr>
        <w:tc>
          <w:tcPr>
            <w:tcW w:w="726"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13" w:type="dxa"/>
            <w:tcBorders/>
            <w:vAlign w:val="center"/>
          </w:tcPr>
          <w:p>
            <w:pPr>
              <w:pStyle w:val="TableContents"/>
              <w:bidi w:val="0"/>
              <w:spacing w:before="0" w:after="283"/>
              <w:jc w:val="left"/>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hyperlink w:anchor="ex_1006432.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hyperlink w:anchor="ex_1006433.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hyperlink w:anchor="ex_1006434.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hyperlink w:anchor="ex_1006435.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13" w:type="dxa"/>
            <w:tcBorders/>
            <w:vAlign w:val="center"/>
          </w:tcPr>
          <w:p>
            <w:pPr>
              <w:pStyle w:val="TableContents"/>
              <w:bidi w:val="0"/>
              <w:spacing w:before="0" w:after="283"/>
              <w:jc w:val="left"/>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 Document.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pPr>
            <w:r>
              <w:t> </w:t>
            </w:r>
          </w:p>
        </w:tc>
      </w:tr>
      <w:t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pPr>
            <w:r>
              <w:t> </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pPr>
            <w:r>
              <w:t> </w:t>
            </w:r>
          </w:p>
        </w:tc>
        <w:tc>
          <w:tcPr>
            <w:tcW w:w="50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44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5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5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c>
          <w:tcPr>
            <w:tcW w:w="7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13" w:type="dxa"/>
            <w:tcBorders/>
            <w:vAlign w:val="center"/>
          </w:tcPr>
          <w:p>
            <w:pPr>
              <w:pStyle w:val="TableContents"/>
              <w:bidi w:val="0"/>
              <w:spacing w:before="0" w:after="283"/>
              <w:jc w:val="left"/>
            </w:pPr>
            <w:r>
              <w:t> </w:t>
            </w:r>
          </w:p>
        </w:tc>
      </w:tr>
      <w:tr>
        <w:tc>
          <w:tcPr>
            <w:tcW w:w="726" w:type="dxa"/>
            <w:tcBorders/>
            <w:vAlign w:val="center"/>
          </w:tcPr>
          <w:p>
            <w:pPr>
              <w:pStyle w:val="TableContents"/>
              <w:bidi w:val="0"/>
              <w:spacing w:before="0" w:after="283"/>
              <w:jc w:val="center"/>
            </w:pPr>
            <w:r>
              <w:t>104 </w:t>
            </w:r>
          </w:p>
        </w:tc>
        <w:tc>
          <w:tcPr>
            <w:tcW w:w="60" w:type="dxa"/>
            <w:tcBorders/>
            <w:vAlign w:val="center"/>
          </w:tcPr>
          <w:p>
            <w:pPr>
              <w:pStyle w:val="TableContents"/>
              <w:bidi w:val="0"/>
              <w:spacing w:before="0" w:after="283"/>
              <w:jc w:val="left"/>
            </w:pPr>
            <w:r>
              <w:t> </w:t>
            </w:r>
          </w:p>
        </w:tc>
        <w:tc>
          <w:tcPr>
            <w:tcW w:w="5986" w:type="dxa"/>
            <w:tcBorders/>
            <w:vAlign w:val="center"/>
          </w:tcPr>
          <w:p>
            <w:pPr>
              <w:pStyle w:val="TableContents"/>
              <w:bidi w:val="0"/>
              <w:spacing w:before="0" w:after="283"/>
              <w:jc w:val="left"/>
            </w:pPr>
            <w:r>
              <w:t>Cover Page Interactive Data File (formatted as Inline XBRL and contained in Exhibit 101)</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013"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pPr>
      <w:r>
        <w:t> </w:t>
      </w:r>
    </w:p>
    <w:tbl>
      <w:tblPr>
        <w:tblW w:w="1315" w:type="dxa"/>
        <w:jc w:val="left"/>
        <w:tblInd w:w="0" w:type="dxa"/>
        <w:tblLayout w:type="fixed"/>
        <w:tblCellMar>
          <w:top w:w="0" w:type="dxa"/>
          <w:left w:w="0" w:type="dxa"/>
          <w:bottom w:w="0" w:type="dxa"/>
          <w:right w:w="0" w:type="dxa"/>
        </w:tblCellMar>
      </w:tblPr>
      <w:tblGrid>
        <w:gridCol w:w="125"/>
        <w:gridCol w:w="1190"/>
      </w:tblGrid>
      <w:t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pPr>
      <w:r>
        <w:t> </w:t>
      </w:r>
    </w:p>
    <w:tbl>
      <w:tblPr>
        <w:tblW w:w="1810" w:type="dxa"/>
        <w:jc w:val="left"/>
        <w:tblInd w:w="0" w:type="dxa"/>
        <w:tblLayout w:type="fixed"/>
        <w:tblCellMar>
          <w:top w:w="0" w:type="dxa"/>
          <w:left w:w="0" w:type="dxa"/>
          <w:bottom w:w="0" w:type="dxa"/>
          <w:right w:w="0" w:type="dxa"/>
        </w:tblCellMar>
      </w:tblPr>
      <w:tblGrid>
        <w:gridCol w:w="230"/>
        <w:gridCol w:w="1580"/>
      </w:tblGrid>
      <w:t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September 30, 2026</w:t>
      </w:r>
      <w:r>
        <w:rPr>
          <w:rFonts w:ascii="Times New Roman;Times;serif" w:hAnsi="Times New Roman;Times;serif"/>
          <w:sz w:val="20"/>
        </w:rPr>
        <w:t xml:space="preserve"> and March 31, 2026, (ii) Statements of Operations for the three and six months ended </w:t>
      </w:r>
      <w:r>
        <w:rPr>
          <w:rFonts w:ascii="Times New Roman;Times;serif" w:hAnsi="Times New Roman;Times;serif"/>
          <w:sz w:val="20"/>
          <w:shd w:fill="FFFFFF" w:val="clear"/>
        </w:rPr>
        <w:t>September 30, 2026</w:t>
      </w:r>
      <w:r>
        <w:rPr>
          <w:rFonts w:ascii="Times New Roman;Times;serif" w:hAnsi="Times New Roman;Times;serif"/>
          <w:sz w:val="20"/>
        </w:rPr>
        <w:t>, and 2025, (iii) Condensed Consolidated Statements of Comprehensive Income for the three and six months ended </w:t>
      </w:r>
      <w:r>
        <w:rPr>
          <w:rFonts w:ascii="Times New Roman;Times;serif" w:hAnsi="Times New Roman;Times;serif"/>
          <w:sz w:val="20"/>
          <w:shd w:fill="FFFFFF" w:val="clear"/>
        </w:rPr>
        <w:t>September 30, 2026</w:t>
      </w:r>
      <w:r>
        <w:rPr>
          <w:rFonts w:ascii="Times New Roman;Times;serif" w:hAnsi="Times New Roman;Times;serif"/>
          <w:sz w:val="20"/>
        </w:rPr>
        <w:t>, and 2025, (iv) Condensed Consolidated Statements of Stockholders' Equity for the three and six months ended </w:t>
      </w:r>
      <w:r>
        <w:rPr>
          <w:rFonts w:ascii="Times New Roman;Times;serif" w:hAnsi="Times New Roman;Times;serif"/>
          <w:sz w:val="20"/>
          <w:shd w:fill="FFFFFF" w:val="clear"/>
        </w:rPr>
        <w:t>September 30, 2026</w:t>
      </w:r>
      <w:r>
        <w:rPr>
          <w:rFonts w:ascii="Times New Roman;Times;serif" w:hAnsi="Times New Roman;Times;serif"/>
          <w:sz w:val="20"/>
        </w:rPr>
        <w:t>, and 2025, (v) Condensed Consolidated Statements of Cash Flows for the six months ended </w:t>
      </w:r>
      <w:r>
        <w:rPr>
          <w:rFonts w:ascii="Times New Roman;Times;serif" w:hAnsi="Times New Roman;Times;serif"/>
          <w:sz w:val="20"/>
          <w:shd w:fill="FFFFFF" w:val="clear"/>
        </w:rPr>
        <w:t>September 30, 2026</w:t>
      </w:r>
      <w:r>
        <w:rPr>
          <w:rFonts w:ascii="Times New Roman;Times;serif" w:hAnsi="Times New Roman;Times;serif"/>
          <w:sz w:val="20"/>
        </w:rPr>
        <w:t>, and 2025 and (vi) Notes to Condensed Consolidated Financial Statements.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pPr>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pPr>
      <w:r>
        <w:t> </w:t>
      </w:r>
    </w:p>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445"/>
        <w:gridCol w:w="1676"/>
        <w:gridCol w:w="320"/>
        <w:gridCol w:w="7764"/>
      </w:tblGrid>
      <w:tr>
        <w:tc>
          <w:tcPr>
            <w:tcW w:w="445" w:type="dxa"/>
            <w:tcBorders/>
            <w:vAlign w:val="center"/>
          </w:tcPr>
          <w:p>
            <w:pPr>
              <w:pStyle w:val="TableContents"/>
              <w:bidi w:val="0"/>
              <w:spacing w:before="0" w:after="0"/>
              <w:ind w:left="0" w:right="0" w:hanging="0"/>
              <w:jc w:val="left"/>
            </w:pPr>
            <w:r>
              <w:t> </w:t>
            </w:r>
          </w:p>
        </w:tc>
        <w:tc>
          <w:tcPr>
            <w:tcW w:w="1676" w:type="dxa"/>
            <w:tcBorders/>
            <w:vAlign w:val="center"/>
          </w:tcPr>
          <w:p>
            <w:pPr>
              <w:pStyle w:val="TableContents"/>
              <w:bidi w:val="0"/>
              <w:spacing w:before="0" w:after="0"/>
              <w:ind w:left="0" w:right="0" w:hanging="0"/>
              <w:jc w:val="left"/>
            </w:pPr>
            <w:r>
              <w:t> </w:t>
            </w:r>
          </w:p>
        </w:tc>
        <w:tc>
          <w:tcPr>
            <w:tcW w:w="808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c>
          <w:tcPr>
            <w:tcW w:w="445" w:type="dxa"/>
            <w:tcBorders/>
            <w:vAlign w:val="center"/>
          </w:tcPr>
          <w:p>
            <w:pPr>
              <w:pStyle w:val="TableContents"/>
              <w:bidi w:val="0"/>
              <w:spacing w:before="0" w:after="0"/>
              <w:ind w:left="0" w:right="0" w:hanging="0"/>
              <w:jc w:val="left"/>
            </w:pPr>
            <w:r>
              <w:t> </w:t>
            </w:r>
          </w:p>
        </w:tc>
        <w:tc>
          <w:tcPr>
            <w:tcW w:w="1676"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7764" w:type="dxa"/>
            <w:tcBorders/>
            <w:vAlign w:val="center"/>
          </w:tcPr>
          <w:p>
            <w:pPr>
              <w:pStyle w:val="TableContents"/>
              <w:bidi w:val="0"/>
              <w:spacing w:before="0" w:after="0"/>
              <w:ind w:left="0" w:right="0" w:hanging="0"/>
              <w:jc w:val="left"/>
            </w:pPr>
            <w:r>
              <w:t> </w:t>
            </w:r>
          </w:p>
        </w:tc>
      </w:tr>
      <w:tr>
        <w:tc>
          <w:tcPr>
            <w:tcW w:w="445" w:type="dxa"/>
            <w:tcBorders/>
            <w:vAlign w:val="center"/>
          </w:tcPr>
          <w:p>
            <w:pPr>
              <w:pStyle w:val="TableContents"/>
              <w:bidi w:val="0"/>
              <w:spacing w:before="0" w:after="0"/>
              <w:ind w:left="0" w:right="0" w:hanging="0"/>
              <w:jc w:val="left"/>
            </w:pPr>
            <w:r>
              <w:t> </w:t>
            </w:r>
          </w:p>
        </w:tc>
        <w:tc>
          <w:tcPr>
            <w:tcW w:w="1676"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77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76" w:type="dxa"/>
            <w:tcBorders/>
            <w:vAlign w:val="center"/>
          </w:tcPr>
          <w:p>
            <w:pPr>
              <w:pStyle w:val="TableContents"/>
              <w:bidi w:val="0"/>
              <w:spacing w:before="0" w:after="283"/>
              <w:jc w:val="left"/>
            </w:pPr>
            <w:r>
              <w:t>November 4, 2026</w:t>
            </w:r>
          </w:p>
        </w:tc>
        <w:tc>
          <w:tcPr>
            <w:tcW w:w="320" w:type="dxa"/>
            <w:tcBorders/>
            <w:vAlign w:val="center"/>
          </w:tcPr>
          <w:p>
            <w:pPr>
              <w:pStyle w:val="TableContents"/>
              <w:bidi w:val="0"/>
              <w:spacing w:before="0" w:after="0"/>
              <w:ind w:left="0" w:right="0" w:hanging="0"/>
              <w:jc w:val="left"/>
            </w:pPr>
            <w:r>
              <w:t> </w:t>
            </w:r>
          </w:p>
        </w:tc>
        <w:tc>
          <w:tcPr>
            <w:tcW w:w="77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c>
          <w:tcPr>
            <w:tcW w:w="445" w:type="dxa"/>
            <w:tcBorders/>
            <w:vAlign w:val="center"/>
          </w:tcPr>
          <w:p>
            <w:pPr>
              <w:pStyle w:val="TableContents"/>
              <w:bidi w:val="0"/>
              <w:spacing w:before="0" w:after="0"/>
              <w:ind w:left="0" w:right="0" w:hanging="0"/>
              <w:jc w:val="left"/>
            </w:pPr>
            <w:r>
              <w:t> </w:t>
            </w:r>
          </w:p>
        </w:tc>
        <w:tc>
          <w:tcPr>
            <w:tcW w:w="1676"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77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pPr>
      <w:r>
        <w:t> </w:t>
      </w:r>
    </w:p>
    <w:p>
      <w:pPr>
        <w:pStyle w:val="TextBody"/>
        <w:bidi w:val="0"/>
        <w:jc w:val="center"/>
        <w:rPr>
          <w:rFonts w:ascii="Times New Roman" w:hAnsi="Times New Roman"/>
          <w:sz w:val="20"/>
        </w:rPr>
      </w:pPr>
      <w:r>
        <w:rPr>
          <w:rFonts w:ascii="Times New Roman" w:hAnsi="Times New Roman"/>
          <w:sz w:val="20"/>
        </w:rPr>
        <w:t xml:space="preserve">39 </w:t>
      </w:r>
    </w:p>
    <w:p>
      <w:pPr>
        <w:pStyle w:val="TextBody"/>
        <w:bidi w:val="0"/>
        <w:spacing w:before="0" w:after="0"/>
        <w:ind w:left="20" w:right="0" w:firstLine="7220"/>
        <w:jc w:val="right"/>
        <w:rPr>
          <w:rFonts w:ascii="Times New Roman" w:hAnsi="Times New Roman"/>
          <w:b/>
          <w:caps w:val="false"/>
          <w:smallCaps w:val="false"/>
          <w:sz w:val="20"/>
        </w:rPr>
      </w:pPr>
      <w:bookmarkStart w:id="17" w:name="ex_1027907.htm"/>
      <w:bookmarkStart w:id="18" w:name="ksex_1027907"/>
      <w:bookmarkEnd w:id="17"/>
      <w:bookmarkEnd w:id="18"/>
      <w:r>
        <w:rPr>
          <w:rFonts w:ascii="Times New Roman" w:hAnsi="Times New Roman"/>
          <w:b/>
          <w:caps w:val="false"/>
          <w:smallCaps w:val="false"/>
          <w:sz w:val="20"/>
        </w:rPr>
        <w:t>Exhibit 10.1</w:t>
      </w:r>
      <w:r>
        <w:br w:type="page"/>
      </w:r>
    </w:p>
    <w:p>
      <w:pPr>
        <w:pStyle w:val="TextBody"/>
        <w:bidi w:val="0"/>
        <w:spacing w:before="0" w:after="0"/>
        <w:ind w:left="20" w:right="0" w:firstLine="7220"/>
        <w:jc w:val="right"/>
        <w:rPr>
          <w:rFonts w:ascii="Times New Roman" w:hAnsi="Times New Roman"/>
          <w:caps w:val="false"/>
          <w:smallCaps w:val="false"/>
          <w:sz w:val="20"/>
        </w:rPr>
      </w:pPr>
      <w:r>
        <w:rPr>
          <w:rFonts w:ascii="Times New Roman" w:hAnsi="Times New Roman"/>
          <w:caps w:val="false"/>
          <w:smallCaps w:val="false"/>
          <w:sz w:val="20"/>
        </w:rPr>
        <w:t>September 10, 2026</w:t>
      </w:r>
    </w:p>
    <w:p>
      <w:pPr>
        <w:pStyle w:val="TextBody"/>
        <w:bidi w:val="0"/>
        <w:spacing w:before="0" w:after="0"/>
        <w:ind w:left="20" w:right="0" w:firstLine="72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w:t>
      </w:r>
    </w:p>
    <w:p>
      <w:pPr>
        <w:pStyle w:val="TextBody"/>
        <w:bidi w:val="0"/>
        <w:spacing w:before="0" w:after="0"/>
        <w:ind w:left="20" w:right="0" w:hanging="20"/>
        <w:jc w:val="left"/>
        <w:rPr>
          <w:rFonts w:ascii="Times New Roman" w:hAnsi="Times New Roman"/>
          <w:caps w:val="false"/>
          <w:smallCaps w:val="false"/>
          <w:sz w:val="20"/>
        </w:rPr>
      </w:pPr>
      <w:r>
        <w:rPr>
          <w:rFonts w:ascii="Times New Roman" w:hAnsi="Times New Roman"/>
          <w:caps w:val="false"/>
          <w:smallCaps w:val="false"/>
          <w:sz w:val="20"/>
        </w:rPr>
        <w:t>Comtrafo Indústria de Transformadores Elétricos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20"/>
        <w:jc w:val="left"/>
        <w:rPr>
          <w:rFonts w:ascii="Times New Roman" w:hAnsi="Times New Roman"/>
          <w:caps w:val="false"/>
          <w:smallCaps w:val="false"/>
          <w:sz w:val="20"/>
        </w:rPr>
      </w:pPr>
      <w:r>
        <w:rPr>
          <w:rFonts w:ascii="Times New Roman" w:hAnsi="Times New Roman"/>
          <w:caps w:val="false"/>
          <w:smallCaps w:val="false"/>
          <w:sz w:val="20"/>
        </w:rPr>
        <w:t>Irineu Minato, Stockholder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 Amendment No. 2 to Stock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20"/>
        <w:jc w:val="left"/>
        <w:rPr>
          <w:rFonts w:ascii="Times New Roman" w:hAnsi="Times New Roman"/>
          <w:caps w:val="false"/>
          <w:smallCaps w:val="false"/>
          <w:sz w:val="20"/>
        </w:rPr>
      </w:pPr>
      <w:r>
        <w:rPr>
          <w:rFonts w:ascii="Times New Roman" w:hAnsi="Times New Roman"/>
          <w:caps w:val="false"/>
          <w:smallCaps w:val="false"/>
          <w:sz w:val="20"/>
        </w:rPr>
        <w:t>Dear Irineu: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made to that certain Stock Exchange Agreement by and among Comtrafo Indústria de Transformadores Elétricos S.A. (the “</w:t>
      </w:r>
      <w:r>
        <w:rPr>
          <w:rFonts w:ascii="Times New Roman" w:hAnsi="Times New Roman"/>
          <w:b/>
          <w:caps w:val="false"/>
          <w:smallCaps w:val="false"/>
          <w:sz w:val="20"/>
        </w:rPr>
        <w:t>Company</w:t>
      </w:r>
      <w:r>
        <w:rPr>
          <w:rFonts w:ascii="Times New Roman" w:hAnsi="Times New Roman"/>
          <w:caps w:val="false"/>
          <w:smallCaps w:val="false"/>
          <w:sz w:val="20"/>
        </w:rPr>
        <w:t>”), Mardin Participações Ltda. (the “</w:t>
      </w:r>
      <w:r>
        <w:rPr>
          <w:rFonts w:ascii="Times New Roman" w:hAnsi="Times New Roman"/>
          <w:b/>
          <w:caps w:val="false"/>
          <w:smallCaps w:val="false"/>
          <w:sz w:val="20"/>
        </w:rPr>
        <w:t>Buyer</w:t>
      </w:r>
      <w:r>
        <w:rPr>
          <w:rFonts w:ascii="Times New Roman" w:hAnsi="Times New Roman"/>
          <w:caps w:val="false"/>
          <w:smallCaps w:val="false"/>
          <w:sz w:val="20"/>
        </w:rPr>
        <w:t>”), the Stockholders, and the other parties named therein, as amended by Amendment No. 1 to Stock Exchange Agreement dated January 29, 2026 (the “</w:t>
      </w:r>
      <w:r>
        <w:rPr>
          <w:rFonts w:ascii="Times New Roman" w:hAnsi="Times New Roman"/>
          <w:b/>
          <w:caps w:val="false"/>
          <w:smallCaps w:val="false"/>
          <w:sz w:val="20"/>
        </w:rPr>
        <w:t>Agreement</w:t>
      </w:r>
      <w:r>
        <w:rPr>
          <w:rFonts w:ascii="Times New Roman" w:hAnsi="Times New Roman"/>
          <w:caps w:val="false"/>
          <w:smallCaps w:val="false"/>
          <w:sz w:val="20"/>
        </w:rPr>
        <w:t>”). Capitalized terms used but not otherwise defined herein (this “</w:t>
      </w:r>
      <w:r>
        <w:rPr>
          <w:rFonts w:ascii="Times New Roman" w:hAnsi="Times New Roman"/>
          <w:b/>
          <w:caps w:val="false"/>
          <w:smallCaps w:val="false"/>
          <w:sz w:val="20"/>
        </w:rPr>
        <w:t>Amendment No. 2</w:t>
      </w:r>
      <w:r>
        <w:rPr>
          <w:rFonts w:ascii="Times New Roman" w:hAnsi="Times New Roman"/>
          <w:caps w:val="false"/>
          <w:smallCaps w:val="false"/>
          <w:sz w:val="20"/>
        </w:rPr>
        <w:t>”) have the meanings given to them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desire to amend Section 1.6 of the Agreement, as set forth below, to, among other things, extend the period included in the definition of ‘First Performance Period,’ at the request of the Stockholders.</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60"/>
        <w:gridCol w:w="170"/>
        <w:gridCol w:w="225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22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Amendment to Definitions </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230"/>
        <w:gridCol w:w="7520"/>
      </w:tblGrid>
      <w:tr>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1.6(b)(vi) of the Agreement is hereby amended and restated to read in full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First Performance Period</w:t>
      </w:r>
      <w:r>
        <w:rPr>
          <w:rFonts w:ascii="Times New Roman" w:hAnsi="Times New Roman"/>
          <w:caps w:val="false"/>
          <w:smallCaps w:val="false"/>
          <w:sz w:val="20"/>
        </w:rPr>
        <w:t>” means the period from January 1, 2026 through and including December 31, 2026.</w:t>
      </w:r>
    </w:p>
    <w:p>
      <w:pPr>
        <w:pStyle w:val="TextBody"/>
        <w:bidi w:val="0"/>
        <w:spacing w:before="0" w:after="0"/>
        <w:ind w:left="7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245"/>
        <w:gridCol w:w="7460"/>
      </w:tblGrid>
      <w:tr>
        <w:tc>
          <w:tcPr>
            <w:tcW w:w="6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1.6(b)(x) of the Agreement is hereby amended and restated to read in full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20"/>
        <w:jc w:val="left"/>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Second Performance Period</w:t>
      </w:r>
      <w:r>
        <w:rPr>
          <w:rFonts w:ascii="Times New Roman" w:hAnsi="Times New Roman"/>
          <w:caps w:val="false"/>
          <w:smallCaps w:val="false"/>
          <w:sz w:val="20"/>
        </w:rPr>
        <w:t>” means the period from January 1, 2027 through and including December 31, 2027.</w:t>
      </w:r>
    </w:p>
    <w:p>
      <w:pPr>
        <w:pStyle w:val="TextBody"/>
        <w:bidi w:val="0"/>
        <w:spacing w:before="0" w:after="0"/>
        <w:ind w:left="7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230"/>
        <w:gridCol w:w="7640"/>
      </w:tblGrid>
      <w:tr>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7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1.6(b)(xiii) of the Agreement is hereby amended and restated to read in full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20"/>
        <w:jc w:val="left"/>
        <w:rPr>
          <w:rFonts w:ascii="Times New Roman" w:hAnsi="Times New Roman"/>
          <w:caps w:val="false"/>
          <w:smallCaps w:val="false"/>
          <w:sz w:val="20"/>
        </w:rPr>
      </w:pPr>
      <w:r>
        <w:rPr>
          <w:rFonts w:ascii="Times New Roman" w:hAnsi="Times New Roman"/>
          <w:caps w:val="false"/>
          <w:smallCaps w:val="false"/>
          <w:sz w:val="20"/>
        </w:rPr>
        <w:t>(xiii) “</w:t>
      </w:r>
      <w:r>
        <w:rPr>
          <w:rFonts w:ascii="Times New Roman" w:hAnsi="Times New Roman"/>
          <w:caps w:val="false"/>
          <w:smallCaps w:val="false"/>
          <w:sz w:val="20"/>
          <w:u w:val="single"/>
        </w:rPr>
        <w:t>Third Performance Period</w:t>
      </w:r>
      <w:r>
        <w:rPr>
          <w:rFonts w:ascii="Times New Roman" w:hAnsi="Times New Roman"/>
          <w:caps w:val="false"/>
          <w:smallCaps w:val="false"/>
          <w:sz w:val="20"/>
        </w:rPr>
        <w:t>” means the period from January 1, 2028 through and including December 31, 2028.</w:t>
      </w:r>
    </w:p>
    <w:p>
      <w:pPr>
        <w:pStyle w:val="TextBody"/>
        <w:bidi w:val="0"/>
        <w:spacing w:before="0" w:after="0"/>
        <w:ind w:left="74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70"/>
        <w:gridCol w:w="269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26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 Change to Other Provisions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(i) this Amendment No. 2 is intended only to address the matters described above; and (ii) nothing in this Amendment No. 2 changes the time as of which any representation, warranty, or covenant in the Agreement is made or deemed made.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Miscellaneous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Amendment No. 2 shall be deemed to form part of, and be incorporated into, the Agreement. From and after the date hereof, any reference to the “Agreement” shall be deemed to be a reference to the Agreement as amended by this Amendment No. 2. Except as expressly amended hereby, the Agreement shall remain in full force and effect in accordance with its terms. In the event of any conflict between the terms of this Amendment No. 2 and the Agreement, the terms of this Amendment No. 2 shall control. This Amendment No. 2 shall be governed by, and construed in accordance with, the laws governing the Agreement. This Amendment No. 2 may be executed in counterparts (including by electronic or .pdf signature), each of which shall be deemed an original and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caps w:val="false"/>
          <w:smallCaps w:val="false"/>
          <w:sz w:val="20"/>
        </w:rPr>
        <w:t xml:space="preserve">[Signature Page Follows] </w:t>
      </w:r>
      <w:r>
        <w:rPr>
          <w:rFonts w:ascii="Times New Roman" w:hAnsi="Times New Roman"/>
          <w:caps w:val="false"/>
          <w:smallCaps w:val="false"/>
          <w:sz w:val="20"/>
        </w:rP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20"/>
        <w:jc w:val="left"/>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Amendment No. 2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STOCKHOLDER REPRESENTATIVE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Signature: </w:t>
      </w:r>
      <w:r>
        <w:rPr>
          <w:rFonts w:ascii="Times New Roman" w:hAnsi="Times New Roman"/>
          <w:caps w:val="false"/>
          <w:smallCaps w:val="false"/>
          <w:sz w:val="20"/>
          <w:u w:val="single"/>
        </w:rPr>
        <w:t>/s/ 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 Irineu Minato</w:t>
      </w:r>
    </w:p>
    <w:p>
      <w:pPr>
        <w:pStyle w:val="TextBody"/>
        <w:bidi w:val="0"/>
        <w:spacing w:before="0" w:after="0"/>
        <w:ind w:left="0" w:right="0" w:hanging="20"/>
        <w:jc w:val="left"/>
        <w:rPr>
          <w:rFonts w:ascii="Times New Roman" w:hAnsi="Times New Roman"/>
          <w:caps w:val="false"/>
          <w:smallCaps w:val="false"/>
          <w:sz w:val="24"/>
        </w:rPr>
      </w:pPr>
      <w:r>
        <w:rPr>
          <w:rFonts w:ascii="Times New Roman" w:hAnsi="Times New Roman"/>
          <w:caps w:val="false"/>
          <w:smallCaps w:val="false"/>
          <w:position w:val="-2"/>
          <w:sz w:val="19"/>
          <w:sz w:val="24"/>
        </w:rPr>
        <w:t>Date:</w:t>
      </w:r>
      <w:r>
        <w:rPr>
          <w:rFonts w:ascii="Times New Roman" w:hAnsi="Times New Roman"/>
          <w:caps w:val="false"/>
          <w:smallCaps w:val="false"/>
          <w:sz w:val="24"/>
        </w:rPr>
        <w:t xml:space="preserve"> 11-set-2026 | 08:28:23 BRT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20"/>
        <w:jc w:val="left"/>
        <w:rPr>
          <w:rFonts w:ascii="Times New Roman" w:hAnsi="Times New Roman"/>
          <w:caps w:val="false"/>
          <w:smallCaps w:val="false"/>
          <w:sz w:val="20"/>
        </w:rPr>
      </w:pPr>
      <w:r>
        <w:rPr>
          <w:rFonts w:ascii="Times New Roman" w:hAnsi="Times New Roman"/>
          <w:b/>
          <w:caps w:val="false"/>
          <w:smallCaps w:val="false"/>
          <w:sz w:val="20"/>
        </w:rPr>
        <w:t>MARDIN PARTICIPA</w:t>
      </w:r>
      <w:r>
        <w:rPr>
          <w:rFonts w:ascii="Times New Roman" w:hAnsi="Times New Roman"/>
          <w:caps w:val="false"/>
          <w:smallCaps w:val="false"/>
          <w:sz w:val="20"/>
        </w:rPr>
        <w:t>ÇÕ</w:t>
      </w:r>
      <w:r>
        <w:rPr>
          <w:rFonts w:ascii="Times New Roman" w:hAnsi="Times New Roman"/>
          <w:b/>
          <w:caps w:val="false"/>
          <w:smallCaps w:val="false"/>
          <w:sz w:val="20"/>
        </w:rPr>
        <w:t xml:space="preserve">ES LTDA.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/s/ Felipe Gabriel Machado Cargnin /s/ Marco Antônio Junqueira de Arantes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 Felipe Gabriel Machado Cargnin Marco Antônio Junqueira de Arantes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20"/>
        <w:jc w:val="left"/>
        <w:rPr>
          <w:rFonts w:ascii="Times New Roman" w:hAnsi="Times New Roman"/>
          <w:caps w:val="false"/>
          <w:smallCaps w:val="false"/>
          <w:sz w:val="24"/>
        </w:rPr>
      </w:pPr>
      <w:r>
        <w:rPr>
          <w:rFonts w:ascii="Times New Roman" w:hAnsi="Times New Roman"/>
          <w:caps w:val="false"/>
          <w:smallCaps w:val="false"/>
          <w:position w:val="-2"/>
          <w:sz w:val="19"/>
          <w:sz w:val="24"/>
        </w:rPr>
        <w:t>Date:</w:t>
      </w:r>
      <w:r>
        <w:rPr>
          <w:rFonts w:ascii="Times New Roman" w:hAnsi="Times New Roman"/>
          <w:caps w:val="false"/>
          <w:smallCaps w:val="false"/>
          <w:sz w:val="24"/>
        </w:rPr>
        <w:t xml:space="preserve"> 11-Sep-2026 | 07:00:17 PDT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COMTRAFO IND</w:t>
      </w:r>
      <w:r>
        <w:rPr>
          <w:rFonts w:ascii="Times New Roman" w:hAnsi="Times New Roman"/>
          <w:caps w:val="false"/>
          <w:smallCaps w:val="false"/>
          <w:sz w:val="20"/>
        </w:rPr>
        <w:t>Ú</w:t>
      </w:r>
      <w:r>
        <w:rPr>
          <w:rFonts w:ascii="Times New Roman" w:hAnsi="Times New Roman"/>
          <w:b/>
          <w:caps w:val="false"/>
          <w:smallCaps w:val="false"/>
          <w:sz w:val="20"/>
        </w:rPr>
        <w:t>STRIA DE TRANSFORMADORES EL</w:t>
      </w:r>
      <w:r>
        <w:rPr>
          <w:rFonts w:ascii="Times New Roman" w:hAnsi="Times New Roman"/>
          <w:caps w:val="false"/>
          <w:smallCaps w:val="false"/>
          <w:sz w:val="20"/>
        </w:rPr>
        <w:t>É</w:t>
      </w:r>
      <w:r>
        <w:rPr>
          <w:rFonts w:ascii="Times New Roman" w:hAnsi="Times New Roman"/>
          <w:b/>
          <w:caps w:val="false"/>
          <w:smallCaps w:val="false"/>
          <w:sz w:val="20"/>
        </w:rPr>
        <w:t xml:space="preserve">TRICOS </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/s/ Ademar Minato /s/ 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20"/>
        <w:jc w:val="left"/>
        <w:rPr>
          <w:rFonts w:ascii="Times New Roman" w:hAnsi="Times New Roman"/>
          <w:caps w:val="false"/>
          <w:smallCaps w:val="false"/>
          <w:sz w:val="20"/>
        </w:rPr>
      </w:pPr>
      <w:r>
        <w:rPr>
          <w:rFonts w:ascii="Times New Roman" w:hAnsi="Times New Roman"/>
          <w:caps w:val="false"/>
          <w:smallCaps w:val="false"/>
          <w:sz w:val="20"/>
        </w:rPr>
        <w:t>Printed Name: Ademar Minato 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20"/>
        <w:jc w:val="left"/>
        <w:rPr>
          <w:rFonts w:ascii="Times New Roman" w:hAnsi="Times New Roman"/>
          <w:caps w:val="false"/>
          <w:smallCaps w:val="false"/>
          <w:sz w:val="20"/>
        </w:rPr>
      </w:pPr>
      <w:r>
        <w:rPr>
          <w:rFonts w:ascii="Times New Roman" w:hAnsi="Times New Roman"/>
          <w:caps w:val="false"/>
          <w:smallCaps w:val="false"/>
          <w:sz w:val="20"/>
        </w:rPr>
        <w:t>Date: 11-set-2026 | 08:28:23 BRT</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b/>
          <w:sz w:val="20"/>
        </w:rPr>
      </w:pPr>
      <w:bookmarkStart w:id="19" w:name="ex_1006432.htm"/>
      <w:bookmarkStart w:id="20" w:name="ksex_1006432"/>
      <w:bookmarkEnd w:id="19"/>
      <w:bookmarkEnd w:id="20"/>
      <w:r>
        <w:rPr>
          <w:rFonts w:ascii="Times New Roman;Times;serif" w:hAnsi="Times New Roman;Times;serif"/>
          <w:b/>
          <w:sz w:val="20"/>
        </w:rPr>
        <w:t>Exhibit 31.1</w:t>
      </w:r>
      <w:r>
        <w:br w:type="page"/>
      </w:r>
    </w:p>
    <w:p>
      <w:pPr>
        <w:pStyle w:val="TextBody"/>
        <w:bidi w:val="0"/>
        <w:spacing w:before="0" w:after="0"/>
        <w:ind w:left="0" w:right="0" w:hanging="0"/>
        <w:jc w:val="left"/>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pPr>
      <w:r>
        <w:t> </w:t>
      </w:r>
    </w:p>
    <w:tbl>
      <w:tblPr>
        <w:tblW w:w="7855" w:type="dxa"/>
        <w:jc w:val="left"/>
        <w:tblInd w:w="0" w:type="dxa"/>
        <w:tblLayout w:type="fixed"/>
        <w:tblCellMar>
          <w:top w:w="0" w:type="dxa"/>
          <w:left w:w="0" w:type="dxa"/>
          <w:bottom w:w="0" w:type="dxa"/>
          <w:right w:w="0" w:type="dxa"/>
        </w:tblCellMar>
      </w:tblPr>
      <w:tblGrid>
        <w:gridCol w:w="170"/>
        <w:gridCol w:w="7685"/>
      </w:tblGrid>
      <w:t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142"/>
        <w:gridCol w:w="10063"/>
      </w:tblGrid>
      <w:t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141"/>
        <w:gridCol w:w="10064"/>
      </w:tblGrid>
      <w:t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c>
          <w:tcPr>
            <w:tcW w:w="6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c>
          <w:tcPr>
            <w:tcW w:w="6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c>
          <w:tcPr>
            <w:tcW w:w="60"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c>
          <w:tcPr>
            <w:tcW w:w="60" w:type="dxa"/>
            <w:tcBorders/>
            <w:vAlign w:val="center"/>
          </w:tcPr>
          <w:p>
            <w:pPr>
              <w:pStyle w:val="TableContents"/>
              <w:bidi w:val="0"/>
              <w:spacing w:before="0" w:after="283"/>
              <w:jc w:val="left"/>
            </w:pPr>
            <w: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pPr>
      <w:r>
        <w:t> </w:t>
      </w:r>
    </w:p>
    <w:p>
      <w:pPr>
        <w:pStyle w:val="TextBody"/>
        <w:bidi w:val="0"/>
        <w:spacing w:before="0" w:after="0"/>
        <w:ind w:left="144" w:right="144" w:hanging="0"/>
        <w:jc w:val="left"/>
      </w:pPr>
      <w:r>
        <w:t> </w:t>
      </w:r>
    </w:p>
    <w:tbl>
      <w:tblPr>
        <w:tblW w:w="4265" w:type="dxa"/>
        <w:jc w:val="left"/>
        <w:tblInd w:w="0" w:type="dxa"/>
        <w:tblLayout w:type="fixed"/>
        <w:tblCellMar>
          <w:top w:w="0" w:type="dxa"/>
          <w:left w:w="0" w:type="dxa"/>
          <w:bottom w:w="28" w:type="dxa"/>
          <w:right w:w="0" w:type="dxa"/>
        </w:tblCellMar>
      </w:tblPr>
      <w:tblGrid>
        <w:gridCol w:w="470"/>
        <w:gridCol w:w="1520"/>
        <w:gridCol w:w="320"/>
        <w:gridCol w:w="1955"/>
      </w:tblGrid>
      <w:t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2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1" w:name="led11849F20267241787600300175"/>
            <w:bookmarkEnd w:id="21"/>
            <w:r>
              <w:rPr>
                <w:rFonts w:ascii="Times New Roman;Times;serif" w:hAnsi="Times New Roman;Times;serif"/>
                <w:sz w:val="20"/>
              </w:rPr>
              <w:t>November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c>
          <w:tcPr>
            <w:tcW w:w="470" w:type="dxa"/>
            <w:tcBorders/>
            <w:tcMar>
              <w:bottom w:w="0" w:type="dxa"/>
            </w:tcMar>
            <w:vAlign w:val="center"/>
          </w:tcPr>
          <w:p>
            <w:pPr>
              <w:pStyle w:val="TableContents"/>
              <w:bidi w:val="0"/>
              <w:spacing w:before="0" w:after="283"/>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283"/>
              <w:jc w:val="left"/>
            </w:pPr>
            <w: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P. McGahn</w:t>
            </w:r>
          </w:p>
        </w:tc>
      </w:tr>
      <w:tr>
        <w:tc>
          <w:tcPr>
            <w:tcW w:w="470" w:type="dxa"/>
            <w:tcBorders/>
            <w:tcMar>
              <w:bottom w:w="0" w:type="dxa"/>
            </w:tcMar>
            <w:vAlign w:val="center"/>
          </w:tcPr>
          <w:p>
            <w:pPr>
              <w:pStyle w:val="TableContents"/>
              <w:bidi w:val="0"/>
              <w:spacing w:before="0" w:after="283"/>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283"/>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b/>
          <w:sz w:val="20"/>
        </w:rPr>
      </w:pPr>
      <w:bookmarkStart w:id="22" w:name="ex_1006433.htm"/>
      <w:bookmarkStart w:id="23" w:name="ksex_1006433"/>
      <w:bookmarkEnd w:id="22"/>
      <w:bookmarkEnd w:id="23"/>
      <w:r>
        <w:rPr>
          <w:rFonts w:ascii="Times New Roman;Times;serif" w:hAnsi="Times New Roman;Times;serif"/>
          <w:b/>
          <w:sz w:val="20"/>
        </w:rPr>
        <w:t>Exhibit 31.2</w:t>
      </w:r>
      <w:r>
        <w:br w:type="page"/>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pPr>
      <w:r>
        <w:t> </w:t>
      </w:r>
    </w:p>
    <w:tbl>
      <w:tblPr>
        <w:tblW w:w="7855" w:type="dxa"/>
        <w:jc w:val="left"/>
        <w:tblInd w:w="0" w:type="dxa"/>
        <w:tblLayout w:type="fixed"/>
        <w:tblCellMar>
          <w:top w:w="0" w:type="dxa"/>
          <w:left w:w="0" w:type="dxa"/>
          <w:bottom w:w="0" w:type="dxa"/>
          <w:right w:w="0" w:type="dxa"/>
        </w:tblCellMar>
      </w:tblPr>
      <w:tblGrid>
        <w:gridCol w:w="170"/>
        <w:gridCol w:w="7685"/>
      </w:tblGrid>
      <w:t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142"/>
        <w:gridCol w:w="10063"/>
      </w:tblGrid>
      <w:t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141"/>
        <w:gridCol w:w="10064"/>
      </w:tblGrid>
      <w:t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c>
          <w:tcPr>
            <w:tcW w:w="6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c>
          <w:tcPr>
            <w:tcW w:w="6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c>
          <w:tcPr>
            <w:tcW w:w="60"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c>
          <w:tcPr>
            <w:tcW w:w="60" w:type="dxa"/>
            <w:tcBorders/>
            <w:vAlign w:val="center"/>
          </w:tcPr>
          <w:p>
            <w:pPr>
              <w:pStyle w:val="TableContents"/>
              <w:bidi w:val="0"/>
              <w:spacing w:before="0" w:after="283"/>
              <w:jc w:val="left"/>
            </w:pPr>
            <w: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pPr>
      <w:r>
        <w:t> </w:t>
      </w:r>
    </w:p>
    <w:p>
      <w:pPr>
        <w:pStyle w:val="TextBody"/>
        <w:bidi w:val="0"/>
        <w:spacing w:before="0" w:after="0"/>
        <w:ind w:left="0" w:right="0" w:hanging="0"/>
        <w:jc w:val="both"/>
      </w:pPr>
      <w:r>
        <w:t> </w:t>
      </w:r>
    </w:p>
    <w:tbl>
      <w:tblPr>
        <w:tblW w:w="4265" w:type="dxa"/>
        <w:jc w:val="left"/>
        <w:tblInd w:w="0" w:type="dxa"/>
        <w:tblLayout w:type="fixed"/>
        <w:tblCellMar>
          <w:top w:w="0" w:type="dxa"/>
          <w:left w:w="0" w:type="dxa"/>
          <w:bottom w:w="28" w:type="dxa"/>
          <w:right w:w="0" w:type="dxa"/>
        </w:tblCellMar>
      </w:tblPr>
      <w:tblGrid>
        <w:gridCol w:w="470"/>
        <w:gridCol w:w="1520"/>
        <w:gridCol w:w="320"/>
        <w:gridCol w:w="1955"/>
      </w:tblGrid>
      <w:t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2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4" w:name="led11849F20267241787600334725"/>
            <w:bookmarkEnd w:id="24"/>
            <w:r>
              <w:rPr>
                <w:rFonts w:ascii="Times New Roman;Times;serif" w:hAnsi="Times New Roman;Times;serif"/>
                <w:sz w:val="20"/>
              </w:rPr>
              <w:t>November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c>
          <w:tcPr>
            <w:tcW w:w="470" w:type="dxa"/>
            <w:tcBorders/>
            <w:tcMar>
              <w:bottom w:w="0" w:type="dxa"/>
            </w:tcMar>
            <w:vAlign w:val="center"/>
          </w:tcPr>
          <w:p>
            <w:pPr>
              <w:pStyle w:val="TableContents"/>
              <w:bidi w:val="0"/>
              <w:spacing w:before="0" w:after="283"/>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283"/>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c>
          <w:tcPr>
            <w:tcW w:w="470" w:type="dxa"/>
            <w:tcBorders/>
            <w:tcMar>
              <w:bottom w:w="0" w:type="dxa"/>
            </w:tcMar>
            <w:vAlign w:val="center"/>
          </w:tcPr>
          <w:p>
            <w:pPr>
              <w:pStyle w:val="TableContents"/>
              <w:bidi w:val="0"/>
              <w:spacing w:before="0" w:after="283"/>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283"/>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jc w:val="right"/>
        <w:rPr>
          <w:rFonts w:ascii="Times New Roman;Times;serif" w:hAnsi="Times New Roman;Times;serif"/>
          <w:b/>
          <w:sz w:val="20"/>
        </w:rPr>
      </w:pPr>
      <w:bookmarkStart w:id="25" w:name="ex_1006434.htm"/>
      <w:bookmarkStart w:id="26" w:name="ksex_1006434"/>
      <w:bookmarkEnd w:id="25"/>
      <w:bookmarkEnd w:id="26"/>
      <w:r>
        <w:rPr>
          <w:rFonts w:ascii="Times New Roman;Times;serif" w:hAnsi="Times New Roman;Times;serif"/>
          <w:b/>
          <w:sz w:val="20"/>
        </w:rPr>
        <w:t>Exhibit 32.1</w:t>
      </w:r>
      <w:r>
        <w:br w:type="page"/>
      </w:r>
    </w:p>
    <w:p>
      <w:pPr>
        <w:pStyle w:val="TextBody"/>
        <w:bidi w:val="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pPr>
      <w: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7" w:name="led11848F20218221632321164177"/>
      <w:bookmarkEnd w:id="27"/>
      <w:r>
        <w:rPr>
          <w:rFonts w:ascii="Times New Roman;Times;serif" w:hAnsi="Times New Roman;Times;serif"/>
          <w:sz w:val="20"/>
        </w:rPr>
        <w:t>September 30, 2026,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c>
          <w:tcPr>
            <w:tcW w:w="6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c>
          <w:tcPr>
            <w:tcW w:w="6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pPr>
      <w:r>
        <w:t> </w:t>
      </w:r>
    </w:p>
    <w:p>
      <w:pPr>
        <w:pStyle w:val="TextBody"/>
        <w:bidi w:val="0"/>
        <w:spacing w:before="0" w:after="283"/>
        <w:jc w:val="left"/>
      </w:pPr>
      <w:r>
        <w:t> </w:t>
      </w:r>
    </w:p>
    <w:tbl>
      <w:tblPr>
        <w:tblW w:w="4265" w:type="dxa"/>
        <w:jc w:val="left"/>
        <w:tblInd w:w="0" w:type="dxa"/>
        <w:tblLayout w:type="fixed"/>
        <w:tblCellMar>
          <w:top w:w="0" w:type="dxa"/>
          <w:left w:w="0" w:type="dxa"/>
          <w:bottom w:w="28" w:type="dxa"/>
          <w:right w:w="0" w:type="dxa"/>
        </w:tblCellMar>
      </w:tblPr>
      <w:tblGrid>
        <w:gridCol w:w="470"/>
        <w:gridCol w:w="1520"/>
        <w:gridCol w:w="320"/>
        <w:gridCol w:w="1955"/>
      </w:tblGrid>
      <w:t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2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8" w:name="led11849F20267241787600385207"/>
            <w:bookmarkEnd w:id="28"/>
            <w:r>
              <w:rPr>
                <w:rFonts w:ascii="Times New Roman;Times;serif" w:hAnsi="Times New Roman;Times;serif"/>
                <w:sz w:val="20"/>
              </w:rPr>
              <w:t>November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c>
          <w:tcPr>
            <w:tcW w:w="470" w:type="dxa"/>
            <w:tcBorders/>
            <w:tcMar>
              <w:bottom w:w="0" w:type="dxa"/>
            </w:tcMar>
            <w:vAlign w:val="center"/>
          </w:tcPr>
          <w:p>
            <w:pPr>
              <w:pStyle w:val="TableContents"/>
              <w:bidi w:val="0"/>
              <w:spacing w:before="0" w:after="0"/>
              <w:ind w:left="0" w:right="0" w:hanging="0"/>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0"/>
              <w:ind w:left="0" w:right="0" w:hanging="0"/>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c>
          <w:tcPr>
            <w:tcW w:w="470" w:type="dxa"/>
            <w:tcBorders/>
            <w:tcMar>
              <w:bottom w:w="0" w:type="dxa"/>
            </w:tcMar>
            <w:vAlign w:val="center"/>
          </w:tcPr>
          <w:p>
            <w:pPr>
              <w:pStyle w:val="TableContents"/>
              <w:bidi w:val="0"/>
              <w:spacing w:before="0" w:after="0"/>
              <w:ind w:left="0" w:right="0" w:hanging="0"/>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0"/>
              <w:ind w:left="0" w:right="0" w:hanging="0"/>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b/>
          <w:sz w:val="20"/>
        </w:rPr>
      </w:pPr>
      <w:bookmarkStart w:id="29" w:name="ex_1006435.htm"/>
      <w:bookmarkStart w:id="30" w:name="ksex_1006435"/>
      <w:bookmarkEnd w:id="29"/>
      <w:bookmarkEnd w:id="30"/>
      <w:r>
        <w:rPr>
          <w:rFonts w:ascii="Times New Roman;Times;serif" w:hAnsi="Times New Roman;Times;serif"/>
          <w:b/>
          <w:sz w:val="20"/>
        </w:rPr>
        <w:t>Exhibit 32.2</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pPr>
      <w: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31" w:name="led11848F20217171629241168204"/>
      <w:bookmarkEnd w:id="31"/>
      <w:r>
        <w:rPr>
          <w:rFonts w:ascii="Times New Roman;Times;serif" w:hAnsi="Times New Roman;Times;serif"/>
          <w:sz w:val="20"/>
        </w:rPr>
        <w:t>September 30, 2026,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pPr>
      <w: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c>
          <w:tcPr>
            <w:tcW w:w="6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c>
          <w:tcPr>
            <w:tcW w:w="6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pPr>
      <w:r>
        <w:t> </w:t>
      </w:r>
    </w:p>
    <w:p>
      <w:pPr>
        <w:pStyle w:val="TextBody"/>
        <w:bidi w:val="0"/>
        <w:spacing w:before="0" w:after="283"/>
        <w:jc w:val="left"/>
      </w:pPr>
      <w:r>
        <w:t> </w:t>
      </w:r>
    </w:p>
    <w:tbl>
      <w:tblPr>
        <w:tblW w:w="4265" w:type="dxa"/>
        <w:jc w:val="left"/>
        <w:tblInd w:w="0" w:type="dxa"/>
        <w:tblLayout w:type="fixed"/>
        <w:tblCellMar>
          <w:top w:w="0" w:type="dxa"/>
          <w:left w:w="0" w:type="dxa"/>
          <w:bottom w:w="28" w:type="dxa"/>
          <w:right w:w="0" w:type="dxa"/>
        </w:tblCellMar>
      </w:tblPr>
      <w:tblGrid>
        <w:gridCol w:w="470"/>
        <w:gridCol w:w="1520"/>
        <w:gridCol w:w="320"/>
        <w:gridCol w:w="1955"/>
      </w:tblGrid>
      <w:t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2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32" w:name="led11849F20267241787600413693"/>
            <w:bookmarkEnd w:id="32"/>
            <w:r>
              <w:rPr>
                <w:rFonts w:ascii="Times New Roman;Times;serif" w:hAnsi="Times New Roman;Times;serif"/>
                <w:sz w:val="20"/>
              </w:rPr>
              <w:t>November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c>
          <w:tcPr>
            <w:tcW w:w="470" w:type="dxa"/>
            <w:tcBorders/>
            <w:tcMar>
              <w:bottom w:w="0" w:type="dxa"/>
            </w:tcMar>
            <w:vAlign w:val="center"/>
          </w:tcPr>
          <w:p>
            <w:pPr>
              <w:pStyle w:val="TableContents"/>
              <w:bidi w:val="0"/>
              <w:spacing w:before="0" w:after="0"/>
              <w:ind w:left="0" w:right="0" w:hanging="0"/>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0"/>
              <w:ind w:left="0" w:right="0" w:hanging="0"/>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c>
          <w:tcPr>
            <w:tcW w:w="470" w:type="dxa"/>
            <w:tcBorders/>
            <w:tcMar>
              <w:bottom w:w="0" w:type="dxa"/>
            </w:tcMar>
            <w:vAlign w:val="center"/>
          </w:tcPr>
          <w:p>
            <w:pPr>
              <w:pStyle w:val="TableContents"/>
              <w:bidi w:val="0"/>
              <w:spacing w:before="0" w:after="0"/>
              <w:ind w:left="0" w:right="0" w:hanging="0"/>
              <w:jc w:val="left"/>
            </w:pPr>
            <w:r>
              <w:t> </w:t>
            </w:r>
          </w:p>
        </w:tc>
        <w:tc>
          <w:tcPr>
            <w:tcW w:w="1520" w:type="dxa"/>
            <w:tcBorders/>
            <w:tcMar>
              <w:bottom w:w="0" w:type="dxa"/>
            </w:tcMar>
            <w:vAlign w:val="center"/>
          </w:tcPr>
          <w:p>
            <w:pPr>
              <w:pStyle w:val="TableContents"/>
              <w:bidi w:val="0"/>
              <w:spacing w:before="0" w:after="0"/>
              <w:ind w:left="0" w:right="0" w:hanging="0"/>
              <w:jc w:val="left"/>
            </w:pPr>
            <w:r>
              <w:t> </w:t>
            </w:r>
          </w:p>
        </w:tc>
        <w:tc>
          <w:tcPr>
            <w:tcW w:w="320" w:type="dxa"/>
            <w:tcBorders/>
            <w:tcMar>
              <w:bottom w:w="0" w:type="dxa"/>
            </w:tcMar>
            <w:vAlign w:val="center"/>
          </w:tcPr>
          <w:p>
            <w:pPr>
              <w:pStyle w:val="TableContents"/>
              <w:bidi w:val="0"/>
              <w:spacing w:before="0" w:after="0"/>
              <w:ind w:left="0" w:right="0" w:hanging="0"/>
              <w:jc w:val="left"/>
            </w:pPr>
            <w: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pPr>
      <w: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20117</Words>
  <Characters>111068</Characters>
  <CharactersWithSpaces>133991</CharactersWithSpaces>
  <Paragraphs>7624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