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217170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June 1, 2019</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American Superconductor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000-19672</w:t>
            </w:r>
          </w:p>
        </w:tc>
        <w:tc>
          <w:tcPr>
            <w:tcW w:w="39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89"/>
              </w:rPr>
              <w:t>04-2959321</w:t>
            </w:r>
          </w:p>
        </w:tc>
      </w:tr>
      <w:tr>
        <w:trPr>
          <w:trHeight w:val="195"/>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(State or other jurisdiction</w:t>
            </w:r>
          </w:p>
        </w:tc>
        <w:tc>
          <w:tcPr>
            <w:tcW w:w="3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3"/>
          </w:tcPr>
          <w:p>
            <w:pPr>
              <w:jc w:val="center"/>
              <w:ind w:right="740"/>
              <w:spacing w:after="0"/>
              <w:rPr>
                <w:sz w:val="20"/>
                <w:szCs w:val="20"/>
                <w:color w:val="auto"/>
              </w:rPr>
            </w:pPr>
            <w:r>
              <w:rPr>
                <w:rFonts w:ascii="Arial" w:cs="Arial" w:eastAsia="Arial" w:hAnsi="Arial"/>
                <w:sz w:val="16"/>
                <w:szCs w:val="16"/>
                <w:b w:val="1"/>
                <w:bCs w:val="1"/>
                <w:color w:val="auto"/>
                <w:w w:val="88"/>
              </w:rPr>
              <w:t>(Commission</w:t>
            </w:r>
          </w:p>
        </w:tc>
        <w:tc>
          <w:tcPr>
            <w:tcW w:w="340" w:type="dxa"/>
            <w:vAlign w:val="bottom"/>
          </w:tcPr>
          <w:p>
            <w:pPr>
              <w:spacing w:after="0"/>
              <w:rPr>
                <w:sz w:val="16"/>
                <w:szCs w:val="16"/>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(IRS Employer</w:t>
            </w:r>
          </w:p>
        </w:tc>
      </w:tr>
      <w:tr>
        <w:trPr>
          <w:trHeight w:val="210"/>
        </w:trPr>
        <w:tc>
          <w:tcPr>
            <w:tcW w:w="4660" w:type="dxa"/>
            <w:vAlign w:val="bottom"/>
            <w:gridSpan w:val="3"/>
          </w:tcPr>
          <w:p>
            <w:pPr>
              <w:jc w:val="center"/>
              <w:ind w:right="1080"/>
              <w:spacing w:after="0"/>
              <w:rPr>
                <w:sz w:val="20"/>
                <w:szCs w:val="20"/>
                <w:color w:val="auto"/>
              </w:rPr>
            </w:pPr>
            <w:r>
              <w:rPr>
                <w:rFonts w:ascii="Arial" w:cs="Arial" w:eastAsia="Arial" w:hAnsi="Arial"/>
                <w:sz w:val="16"/>
                <w:szCs w:val="16"/>
                <w:b w:val="1"/>
                <w:bCs w:val="1"/>
                <w:color w:val="auto"/>
                <w:w w:val="92"/>
              </w:rPr>
              <w:t>of incorporation)</w:t>
            </w:r>
          </w:p>
        </w:tc>
        <w:tc>
          <w:tcPr>
            <w:tcW w:w="284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6"/>
              </w:rPr>
              <w:t>File Number)</w:t>
            </w:r>
          </w:p>
        </w:tc>
        <w:tc>
          <w:tcPr>
            <w:tcW w:w="3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3"/>
              </w:rPr>
              <w:t>Identification No.)</w:t>
            </w:r>
          </w:p>
        </w:tc>
      </w:tr>
      <w:tr>
        <w:trPr>
          <w:trHeight w:val="431"/>
        </w:trPr>
        <w:tc>
          <w:tcPr>
            <w:tcW w:w="4660" w:type="dxa"/>
            <w:vAlign w:val="bottom"/>
            <w:gridSpan w:val="3"/>
          </w:tcPr>
          <w:p>
            <w:pPr>
              <w:jc w:val="center"/>
              <w:ind w:left="755"/>
              <w:spacing w:after="0"/>
              <w:rPr>
                <w:sz w:val="20"/>
                <w:szCs w:val="20"/>
                <w:color w:val="auto"/>
              </w:rPr>
            </w:pPr>
            <w:r>
              <w:rPr>
                <w:rFonts w:ascii="Arial" w:cs="Arial" w:eastAsia="Arial" w:hAnsi="Arial"/>
                <w:sz w:val="18"/>
                <w:szCs w:val="18"/>
                <w:b w:val="1"/>
                <w:bCs w:val="1"/>
                <w:color w:val="auto"/>
                <w:w w:val="90"/>
              </w:rPr>
              <w:t>114 East Main Street</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3"/>
        </w:trPr>
        <w:tc>
          <w:tcPr>
            <w:tcW w:w="4660" w:type="dxa"/>
            <w:vAlign w:val="bottom"/>
            <w:tcBorders>
              <w:bottom w:val="single" w:sz="8" w:color="auto"/>
            </w:tcBorders>
            <w:gridSpan w:val="3"/>
          </w:tcPr>
          <w:p>
            <w:pPr>
              <w:jc w:val="center"/>
              <w:ind w:left="755"/>
              <w:spacing w:after="0"/>
              <w:rPr>
                <w:sz w:val="20"/>
                <w:szCs w:val="20"/>
                <w:color w:val="auto"/>
              </w:rPr>
            </w:pPr>
            <w:r>
              <w:rPr>
                <w:rFonts w:ascii="Arial" w:cs="Arial" w:eastAsia="Arial" w:hAnsi="Arial"/>
                <w:sz w:val="18"/>
                <w:szCs w:val="18"/>
                <w:b w:val="1"/>
                <w:bCs w:val="1"/>
                <w:color w:val="auto"/>
                <w:w w:val="85"/>
              </w:rPr>
              <w:t>Ayer, Massachusetts</w:t>
            </w:r>
          </w:p>
        </w:tc>
        <w:tc>
          <w:tcPr>
            <w:tcW w:w="8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2"/>
          </w:tcPr>
          <w:p>
            <w:pPr>
              <w:jc w:val="right"/>
              <w:ind w:right="2439"/>
              <w:spacing w:after="0"/>
              <w:rPr>
                <w:sz w:val="20"/>
                <w:szCs w:val="20"/>
                <w:color w:val="auto"/>
              </w:rPr>
            </w:pPr>
            <w:r>
              <w:rPr>
                <w:rFonts w:ascii="Arial" w:cs="Arial" w:eastAsia="Arial" w:hAnsi="Arial"/>
                <w:sz w:val="18"/>
                <w:szCs w:val="18"/>
                <w:b w:val="1"/>
                <w:bCs w:val="1"/>
                <w:color w:val="auto"/>
              </w:rPr>
              <w:t>01432</w:t>
            </w:r>
          </w:p>
        </w:tc>
      </w:tr>
      <w:tr>
        <w:trPr>
          <w:trHeight w:val="203"/>
        </w:trPr>
        <w:tc>
          <w:tcPr>
            <w:tcW w:w="4660" w:type="dxa"/>
            <w:vAlign w:val="bottom"/>
            <w:gridSpan w:val="3"/>
          </w:tcPr>
          <w:p>
            <w:pPr>
              <w:jc w:val="center"/>
              <w:ind w:left="755"/>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80" w:type="dxa"/>
            <w:vAlign w:val="bottom"/>
          </w:tcPr>
          <w:p>
            <w:pPr>
              <w:jc w:val="center"/>
              <w:ind w:right="1799"/>
              <w:spacing w:after="0"/>
              <w:rPr>
                <w:sz w:val="20"/>
                <w:szCs w:val="20"/>
                <w:color w:val="auto"/>
              </w:rPr>
            </w:pPr>
            <w:r>
              <w:rPr>
                <w:rFonts w:ascii="Arial" w:cs="Arial" w:eastAsia="Arial" w:hAnsi="Arial"/>
                <w:sz w:val="16"/>
                <w:szCs w:val="16"/>
                <w:b w:val="1"/>
                <w:bCs w:val="1"/>
                <w:color w:val="auto"/>
                <w:w w:val="93"/>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(978) 842-3000</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5" w:lineRule="exact"/>
        <w:rPr>
          <w:sz w:val="24"/>
          <w:szCs w:val="24"/>
          <w:color w:val="auto"/>
        </w:rPr>
      </w:pPr>
    </w:p>
    <w:p>
      <w:pPr>
        <w:ind w:left="140" w:right="78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480" w:hanging="343"/>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 w:lineRule="exact"/>
        <w:rPr>
          <w:rFonts w:ascii="MS PGothic" w:cs="MS PGothic" w:eastAsia="MS PGothic" w:hAnsi="MS PGothic"/>
          <w:sz w:val="18"/>
          <w:szCs w:val="18"/>
          <w:color w:val="auto"/>
        </w:rPr>
      </w:pPr>
    </w:p>
    <w:p>
      <w:pPr>
        <w:ind w:left="480" w:hanging="343"/>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8" w:lineRule="exact"/>
        <w:rPr>
          <w:rFonts w:ascii="MS PGothic" w:cs="MS PGothic" w:eastAsia="MS PGothic" w:hAnsi="MS PGothic"/>
          <w:sz w:val="18"/>
          <w:szCs w:val="18"/>
          <w:color w:val="auto"/>
        </w:rPr>
      </w:pPr>
    </w:p>
    <w:p>
      <w:pPr>
        <w:ind w:left="480" w:hanging="343"/>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8" w:lineRule="exact"/>
        <w:rPr>
          <w:rFonts w:ascii="MS PGothic" w:cs="MS PGothic" w:eastAsia="MS PGothic" w:hAnsi="MS PGothic"/>
          <w:sz w:val="18"/>
          <w:szCs w:val="18"/>
          <w:color w:val="auto"/>
        </w:rPr>
      </w:pPr>
    </w:p>
    <w:p>
      <w:pPr>
        <w:ind w:left="480" w:hanging="343"/>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22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$0.01 par value per share</w:t>
            </w:r>
          </w:p>
        </w:tc>
        <w:tc>
          <w:tcPr>
            <w:tcW w:w="2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rPr>
              <w:t>AMSC</w:t>
            </w:r>
          </w:p>
        </w:tc>
        <w:tc>
          <w:tcPr>
            <w:tcW w:w="22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27" w:lineRule="exact"/>
        <w:rPr>
          <w:sz w:val="24"/>
          <w:szCs w:val="24"/>
          <w:color w:val="auto"/>
        </w:rPr>
      </w:pPr>
    </w:p>
    <w:p>
      <w:pPr>
        <w:ind w:right="100"/>
        <w:spacing w:after="0" w:line="27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4" w:lineRule="exact"/>
        <w:rPr>
          <w:sz w:val="24"/>
          <w:szCs w:val="24"/>
          <w:color w:val="auto"/>
        </w:rPr>
      </w:pPr>
    </w:p>
    <w:p>
      <w:pPr>
        <w:ind w:left="92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5"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7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2472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247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5, 2019, American Superconductor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announced its financial results for the fourth quarter and full fiscal year ended March 31, 2019 of the Company's fiscal year 2018. The full text of the press release issued in connection with the announcement is attached as Exhibit 99.1 to this Current Report on Form 8-K.</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information in this Item 2.02 of this Current Report on Form 8-K (including Exhibit 99.1)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1" w:lineRule="exact"/>
        <w:rPr>
          <w:sz w:val="20"/>
          <w:szCs w:val="20"/>
          <w:color w:val="auto"/>
        </w:rPr>
      </w:pPr>
    </w:p>
    <w:p>
      <w:pPr>
        <w:ind w:right="200"/>
        <w:spacing w:after="0" w:line="28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left="140" w:right="140" w:hanging="3"/>
        <w:spacing w:after="0" w:line="255" w:lineRule="auto"/>
        <w:tabs>
          <w:tab w:leader="none" w:pos="405"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Special One-Time Bonus for Daniel P. McGahn. </w:t>
      </w:r>
      <w:r>
        <w:rPr>
          <w:rFonts w:ascii="Arial" w:cs="Arial" w:eastAsia="Arial" w:hAnsi="Arial"/>
          <w:sz w:val="18"/>
          <w:szCs w:val="18"/>
          <w:color w:val="auto"/>
        </w:rPr>
        <w:t>On June 1, 2019, the Compensation Committee of the Board of Directors of the Company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and the Board of Directors of the Company approved a special one-time bonus of $1,000,000 for Daniel P. McGahn, Chairman, President and Chief Financial Officer, for exemplary performance in connection with the settlement of all outstanding litigation and arbitration matters with Sinovel Wind Group Co. Ltd. This special one-time bonus, which is outside the Company’s fiscal 2018 executive incentive plan, will be paid to Mr. McGahn in the Company’s next regularly scheduled payroll.</w:t>
      </w:r>
    </w:p>
    <w:p>
      <w:pPr>
        <w:spacing w:after="0" w:line="191" w:lineRule="exact"/>
        <w:rPr>
          <w:sz w:val="20"/>
          <w:szCs w:val="20"/>
          <w:color w:val="auto"/>
        </w:rPr>
      </w:pPr>
    </w:p>
    <w:p>
      <w:pPr>
        <w:jc w:val="both"/>
        <w:ind w:left="140" w:right="140" w:hanging="3"/>
        <w:spacing w:after="0" w:line="300" w:lineRule="auto"/>
        <w:tabs>
          <w:tab w:leader="none" w:pos="40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Base Salary Increase for John W. Kosiba, Jr. </w:t>
      </w:r>
      <w:r>
        <w:rPr>
          <w:rFonts w:ascii="Arial" w:cs="Arial" w:eastAsia="Arial" w:hAnsi="Arial"/>
          <w:sz w:val="16"/>
          <w:szCs w:val="16"/>
          <w:color w:val="auto"/>
        </w:rPr>
        <w:t>On June 1, 2019, the Committee approved an adjustment to the base salary for John W. Kosiba, Jr.,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Vice President and Chief Financial Officer, from $250,000 to $300,000. The salary increase for Mr. Kosiba, which is effective as of April 1, 2019, was based on a review of his performance during the Company’s fiscal year ended March 31, 2019 relative to both his and the Company’s goals and competitive salary data provided by the Committee’s independent outside compensation consultant, Aon Consulting, Inc., through its Radford subdivision.</w:t>
      </w:r>
    </w:p>
    <w:p>
      <w:pPr>
        <w:spacing w:after="0" w:line="151" w:lineRule="exact"/>
        <w:rPr>
          <w:sz w:val="20"/>
          <w:szCs w:val="20"/>
          <w:color w:val="auto"/>
        </w:rPr>
      </w:pPr>
    </w:p>
    <w:p>
      <w:pPr>
        <w:jc w:val="both"/>
        <w:ind w:left="140" w:right="120" w:hanging="3"/>
        <w:spacing w:after="0" w:line="271" w:lineRule="auto"/>
        <w:tabs>
          <w:tab w:leader="none" w:pos="392"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Fiscal 2019 Executive Incentive Plan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1, 2019, the Committee and the Board of Directors of the Company approved an executive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for the Company’s fiscal year ending March 31, 2020 (“</w:t>
      </w:r>
      <w:r>
        <w:rPr>
          <w:rFonts w:ascii="Arial" w:cs="Arial" w:eastAsia="Arial" w:hAnsi="Arial"/>
          <w:sz w:val="17"/>
          <w:szCs w:val="17"/>
          <w:u w:val="single" w:color="auto"/>
          <w:color w:val="auto"/>
        </w:rPr>
        <w:t>fiscal 2019</w:t>
      </w:r>
      <w:r>
        <w:rPr>
          <w:rFonts w:ascii="Arial" w:cs="Arial" w:eastAsia="Arial" w:hAnsi="Arial"/>
          <w:sz w:val="17"/>
          <w:szCs w:val="17"/>
          <w:color w:val="auto"/>
        </w:rPr>
        <w:t>”). Participants in the plan include the Company’s chief executive officer, all other current executive officers and James F. Maguire, a former executive officer who was a named executive officer in our Definitive Proxy Statement on Schedule 14A, filed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on June 15, 2018. Pursuant to the plan, each participant is designated a target cash incentive amount, expressed as a percentage of the participant’s base salary. The Committee is responsible for determining the payout under the plan to each participant except the chief executive officer. The Board of Directors of the Company determines the payout under the plan for the chief executive officer, taking into account the recommendation of the Committee.</w:t>
      </w:r>
    </w:p>
    <w:p>
      <w:pPr>
        <w:spacing w:after="0" w:line="180" w:lineRule="exact"/>
        <w:rPr>
          <w:sz w:val="20"/>
          <w:szCs w:val="20"/>
          <w:color w:val="auto"/>
        </w:rPr>
      </w:pPr>
    </w:p>
    <w:p>
      <w:pPr>
        <w:jc w:val="both"/>
        <w:ind w:left="140" w:right="140"/>
        <w:spacing w:after="0" w:line="262" w:lineRule="auto"/>
        <w:rPr>
          <w:sz w:val="20"/>
          <w:szCs w:val="20"/>
          <w:color w:val="auto"/>
        </w:rPr>
      </w:pPr>
      <w:r>
        <w:rPr>
          <w:rFonts w:ascii="Arial" w:cs="Arial" w:eastAsia="Arial" w:hAnsi="Arial"/>
          <w:sz w:val="18"/>
          <w:szCs w:val="18"/>
          <w:color w:val="auto"/>
        </w:rPr>
        <w:t>The amount of the incentive award actually paid to each participant may be less than or greater than the participant’s target cash incentive, with the amount capped at 200% of the target incentive. For each participant, individual incentive awards will be determined following the end of fiscal 2019 based on the following factors and their corresponding weightings:</w:t>
      </w:r>
    </w:p>
    <w:p>
      <w:pPr>
        <w:spacing w:after="0" w:line="182" w:lineRule="exact"/>
        <w:rPr>
          <w:sz w:val="20"/>
          <w:szCs w:val="20"/>
          <w:color w:val="auto"/>
        </w:rPr>
      </w:pPr>
    </w:p>
    <w:p>
      <w:pPr>
        <w:ind w:left="920" w:hanging="33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operating cash flow for fiscal 2019 as compared to the established target – 50%</w:t>
      </w:r>
    </w:p>
    <w:p>
      <w:pPr>
        <w:spacing w:after="0" w:line="223" w:lineRule="exact"/>
        <w:rPr>
          <w:rFonts w:ascii="Arial" w:cs="Arial" w:eastAsia="Arial" w:hAnsi="Arial"/>
          <w:sz w:val="18"/>
          <w:szCs w:val="18"/>
          <w:color w:val="auto"/>
        </w:rPr>
      </w:pPr>
    </w:p>
    <w:p>
      <w:pPr>
        <w:ind w:left="920" w:hanging="33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revenues for fiscal 2019 as compared to the established target – 25%</w:t>
      </w:r>
    </w:p>
    <w:p>
      <w:pPr>
        <w:spacing w:after="0" w:line="223" w:lineRule="exact"/>
        <w:rPr>
          <w:rFonts w:ascii="Arial" w:cs="Arial" w:eastAsia="Arial" w:hAnsi="Arial"/>
          <w:sz w:val="18"/>
          <w:szCs w:val="18"/>
          <w:color w:val="auto"/>
        </w:rPr>
      </w:pPr>
    </w:p>
    <w:p>
      <w:pPr>
        <w:ind w:left="920" w:hanging="33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operating expenses for fiscal 2019 as compared to the established target – 25%</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sets forth the target cash incentive for fiscal 2019 for each current executive officer and Mr. Maguire:</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6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Target Incentive</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as % of</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3"/>
        </w:trPr>
        <w:tc>
          <w:tcPr>
            <w:tcW w:w="1920" w:type="dxa"/>
            <w:vAlign w:val="bottom"/>
          </w:tcPr>
          <w:p>
            <w:pPr>
              <w:ind w:left="300"/>
              <w:spacing w:after="0"/>
              <w:rPr>
                <w:sz w:val="20"/>
                <w:szCs w:val="20"/>
                <w:color w:val="auto"/>
              </w:rPr>
            </w:pPr>
            <w:r>
              <w:rPr>
                <w:rFonts w:ascii="Arial" w:cs="Arial" w:eastAsia="Arial" w:hAnsi="Arial"/>
                <w:sz w:val="18"/>
                <w:szCs w:val="18"/>
                <w:b w:val="1"/>
                <w:bCs w:val="1"/>
                <w:color w:val="auto"/>
              </w:rPr>
              <w:t>Executive Officer</w:t>
            </w:r>
          </w:p>
        </w:tc>
        <w:tc>
          <w:tcPr>
            <w:tcW w:w="240" w:type="dxa"/>
            <w:vAlign w:val="bottom"/>
          </w:tcPr>
          <w:p>
            <w:pPr>
              <w:spacing w:after="0"/>
              <w:rPr>
                <w:sz w:val="20"/>
                <w:szCs w:val="20"/>
                <w:color w:val="auto"/>
              </w:rPr>
            </w:pPr>
          </w:p>
        </w:tc>
        <w:tc>
          <w:tcPr>
            <w:tcW w:w="5240" w:type="dxa"/>
            <w:vAlign w:val="bottom"/>
          </w:tcPr>
          <w:p>
            <w:pPr>
              <w:ind w:left="244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300" w:type="dxa"/>
            <w:vAlign w:val="bottom"/>
          </w:tcPr>
          <w:p>
            <w:pPr>
              <w:spacing w:after="0"/>
              <w:rPr>
                <w:sz w:val="20"/>
                <w:szCs w:val="20"/>
                <w:color w:val="auto"/>
              </w:rPr>
            </w:pPr>
          </w:p>
        </w:tc>
        <w:tc>
          <w:tcPr>
            <w:tcW w:w="1460" w:type="dxa"/>
            <w:vAlign w:val="bottom"/>
            <w:gridSpan w:val="4"/>
          </w:tcPr>
          <w:p>
            <w:pPr>
              <w:ind w:left="160"/>
              <w:spacing w:after="0"/>
              <w:rPr>
                <w:sz w:val="20"/>
                <w:szCs w:val="20"/>
                <w:color w:val="auto"/>
              </w:rPr>
            </w:pPr>
            <w:r>
              <w:rPr>
                <w:rFonts w:ascii="Arial" w:cs="Arial" w:eastAsia="Arial" w:hAnsi="Arial"/>
                <w:sz w:val="18"/>
                <w:szCs w:val="18"/>
                <w:b w:val="1"/>
                <w:bCs w:val="1"/>
                <w:color w:val="auto"/>
                <w:w w:val="92"/>
              </w:rPr>
              <w:t>Target Incentive</w:t>
            </w:r>
          </w:p>
        </w:tc>
      </w:tr>
      <w:tr>
        <w:trPr>
          <w:trHeight w:val="20"/>
        </w:trPr>
        <w:tc>
          <w:tcPr>
            <w:tcW w:w="1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Daniel P. McGahn</w:t>
            </w:r>
          </w:p>
        </w:tc>
        <w:tc>
          <w:tcPr>
            <w:tcW w:w="5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Chairman, President and Chief Executive Officer</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r>
      <w:tr>
        <w:trPr>
          <w:trHeight w:val="215"/>
        </w:trPr>
        <w:tc>
          <w:tcPr>
            <w:tcW w:w="1920" w:type="dxa"/>
            <w:vAlign w:val="bottom"/>
          </w:tcPr>
          <w:p>
            <w:pPr>
              <w:ind w:left="220"/>
              <w:spacing w:after="0"/>
              <w:rPr>
                <w:sz w:val="20"/>
                <w:szCs w:val="20"/>
                <w:color w:val="auto"/>
              </w:rPr>
            </w:pPr>
            <w:r>
              <w:rPr>
                <w:rFonts w:ascii="Arial" w:cs="Arial" w:eastAsia="Arial" w:hAnsi="Arial"/>
                <w:sz w:val="18"/>
                <w:szCs w:val="18"/>
                <w:color w:val="auto"/>
              </w:rPr>
              <w:t>John W. Kosiba, Jr.</w:t>
            </w:r>
          </w:p>
        </w:tc>
        <w:tc>
          <w:tcPr>
            <w:tcW w:w="5480" w:type="dxa"/>
            <w:vAlign w:val="bottom"/>
            <w:gridSpan w:val="2"/>
          </w:tcPr>
          <w:p>
            <w:pPr>
              <w:ind w:left="240"/>
              <w:spacing w:after="0"/>
              <w:rPr>
                <w:sz w:val="20"/>
                <w:szCs w:val="20"/>
                <w:color w:val="auto"/>
              </w:rPr>
            </w:pPr>
            <w:r>
              <w:rPr>
                <w:rFonts w:ascii="Arial" w:cs="Arial" w:eastAsia="Arial" w:hAnsi="Arial"/>
                <w:sz w:val="18"/>
                <w:szCs w:val="18"/>
                <w:color w:val="auto"/>
              </w:rPr>
              <w:t>Senior Vice President, Chief Financial Officer and Treasurer</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50%</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8"/>
                <w:szCs w:val="18"/>
                <w:color w:val="auto"/>
              </w:rPr>
            </w:pPr>
          </w:p>
        </w:tc>
      </w:tr>
      <w:tr>
        <w:trPr>
          <w:trHeight w:val="215"/>
        </w:trPr>
        <w:tc>
          <w:tcPr>
            <w:tcW w:w="1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James F. Maguire</w:t>
            </w:r>
          </w:p>
        </w:tc>
        <w:tc>
          <w:tcPr>
            <w:tcW w:w="5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Executive Vice President, Technology</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90,000</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8"/>
          <w:szCs w:val="18"/>
          <w:i w:val="1"/>
          <w:iCs w:val="1"/>
          <w:color w:val="auto"/>
        </w:rPr>
        <w:t>) Exhibits</w:t>
      </w:r>
      <w:r>
        <w:rPr>
          <w:rFonts w:ascii="Arial" w:cs="Arial" w:eastAsia="Arial" w:hAnsi="Arial"/>
          <w:sz w:val="18"/>
          <w:szCs w:val="18"/>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193"/>
        </w:trPr>
        <w:tc>
          <w:tcPr>
            <w:tcW w:w="94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89"/>
              </w:rPr>
              <w:t>No.</w:t>
            </w:r>
          </w:p>
        </w:tc>
        <w:tc>
          <w:tcPr>
            <w:tcW w:w="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68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Description</w:t>
            </w:r>
          </w:p>
        </w:tc>
      </w:tr>
      <w:tr>
        <w:trPr>
          <w:trHeight w:val="410"/>
        </w:trPr>
        <w:tc>
          <w:tcPr>
            <w:tcW w:w="9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480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Fiscal 2019 Executive Incentive Plan</w:t>
              </w:r>
            </w:hyperlink>
          </w:p>
        </w:tc>
        <w:tc>
          <w:tcPr>
            <w:tcW w:w="880" w:type="dxa"/>
            <w:vAlign w:val="bottom"/>
            <w:tcBorders>
              <w:top w:val="single" w:sz="8" w:color="auto"/>
            </w:tcBorders>
          </w:tcPr>
          <w:p>
            <w:pPr>
              <w:spacing w:after="0"/>
              <w:rPr>
                <w:sz w:val="24"/>
                <w:szCs w:val="24"/>
                <w:color w:val="auto"/>
              </w:rPr>
            </w:pPr>
          </w:p>
        </w:tc>
        <w:tc>
          <w:tcPr>
            <w:tcW w:w="480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7820" w:type="dxa"/>
            <w:vAlign w:val="bottom"/>
            <w:gridSpan w:val="3"/>
          </w:tcPr>
          <w:p>
            <w:pPr>
              <w:spacing w:after="0" w:line="20" w:lineRule="exact"/>
              <w:rPr>
                <w:sz w:val="1"/>
                <w:szCs w:val="1"/>
                <w:color w:val="auto"/>
              </w:rPr>
            </w:pPr>
          </w:p>
        </w:tc>
      </w:tr>
      <w:tr>
        <w:trPr>
          <w:trHeight w:val="195"/>
        </w:trPr>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85"/>
              </w:rPr>
              <w:t>99.1</w:t>
            </w:r>
          </w:p>
        </w:tc>
        <w:tc>
          <w:tcPr>
            <w:tcW w:w="10480" w:type="dxa"/>
            <w:vAlign w:val="bottom"/>
            <w:tcBorders>
              <w:bottom w:val="single" w:sz="8" w:color="0000EE"/>
            </w:tcBorders>
            <w:gridSpan w:val="5"/>
          </w:tcPr>
          <w:p>
            <w:pPr>
              <w:spacing w:after="0" w:line="195"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Press release issued by American Superconductor Corporation on June 5, 2019 (furnished, not “filed,” for purposes of Section 18 of the Exchange</w:t>
              </w:r>
            </w:hyperlink>
          </w:p>
        </w:tc>
      </w:tr>
      <w:tr>
        <w:trPr>
          <w:trHeight w:val="195"/>
        </w:trPr>
        <w:tc>
          <w:tcPr>
            <w:tcW w:w="940" w:type="dxa"/>
            <w:vAlign w:val="bottom"/>
          </w:tcPr>
          <w:p>
            <w:pPr>
              <w:spacing w:after="0"/>
              <w:rPr>
                <w:sz w:val="16"/>
                <w:szCs w:val="16"/>
                <w:color w:val="auto"/>
              </w:rPr>
            </w:pPr>
          </w:p>
        </w:tc>
        <w:tc>
          <w:tcPr>
            <w:tcW w:w="10480" w:type="dxa"/>
            <w:vAlign w:val="bottom"/>
            <w:gridSpan w:val="5"/>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Act).</w:t>
              </w:r>
            </w:hyperlink>
          </w:p>
        </w:tc>
      </w:tr>
      <w:tr>
        <w:trPr>
          <w:trHeight w:val="592"/>
        </w:trPr>
        <w:tc>
          <w:tcPr>
            <w:tcW w:w="94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8"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firstLine="538"/>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AMERICAN SUPERCONDUCTOR CORPORATION</w:t>
      </w:r>
    </w:p>
    <w:p>
      <w:pPr>
        <w:spacing w:after="0" w:line="223" w:lineRule="exact"/>
        <w:rPr>
          <w:sz w:val="20"/>
          <w:szCs w:val="20"/>
          <w:color w:val="auto"/>
        </w:rPr>
      </w:pPr>
    </w:p>
    <w:p>
      <w:pPr>
        <w:spacing w:after="0"/>
        <w:tabs>
          <w:tab w:leader="none" w:pos="540" w:val="left"/>
          <w:tab w:leader="none" w:pos="5420" w:val="left"/>
          <w:tab w:leader="none" w:pos="7340" w:val="left"/>
        </w:tabs>
        <w:rPr>
          <w:sz w:val="20"/>
          <w:szCs w:val="20"/>
          <w:color w:val="auto"/>
        </w:rPr>
      </w:pPr>
      <w:r>
        <w:rPr>
          <w:rFonts w:ascii="Arial" w:cs="Arial" w:eastAsia="Arial" w:hAnsi="Arial"/>
          <w:sz w:val="18"/>
          <w:szCs w:val="18"/>
          <w:color w:val="auto"/>
        </w:rPr>
        <w:t>Date:</w:t>
        <w:tab/>
        <w:t>June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13970</wp:posOffset>
            </wp:positionV>
            <wp:extent cx="3158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16"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John W. Kosiba, Jr.</w:t>
      </w:r>
    </w:p>
    <w:p>
      <w:pPr>
        <w:spacing w:after="0" w:line="8" w:lineRule="exact"/>
        <w:rPr>
          <w:sz w:val="20"/>
          <w:szCs w:val="20"/>
          <w:color w:val="auto"/>
        </w:rPr>
      </w:pPr>
    </w:p>
    <w:p>
      <w:pPr>
        <w:jc w:val="center"/>
        <w:ind w:left="5300"/>
        <w:spacing w:after="0"/>
        <w:rPr>
          <w:sz w:val="20"/>
          <w:szCs w:val="20"/>
          <w:color w:val="auto"/>
        </w:rPr>
      </w:pPr>
      <w:r>
        <w:rPr>
          <w:rFonts w:ascii="Arial" w:cs="Arial" w:eastAsia="Arial" w:hAnsi="Arial"/>
          <w:sz w:val="18"/>
          <w:szCs w:val="18"/>
          <w:i w:val="1"/>
          <w:iCs w:val="1"/>
          <w:color w:val="auto"/>
        </w:rPr>
        <w:t>Senior Vice President and Chief Financial Officer</w:t>
      </w:r>
    </w:p>
    <w:p>
      <w:pPr>
        <w:sectPr>
          <w:pgSz w:w="11900" w:h="16838" w:orient="portrait"/>
          <w:cols w:equalWidth="0" w:num="1">
            <w:col w:w="10780"/>
          </w:cols>
          <w:pgMar w:left="240" w:top="578"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00" w:lineRule="exact"/>
        <w:rPr>
          <w:sz w:val="20"/>
          <w:szCs w:val="20"/>
          <w:color w:val="auto"/>
        </w:rPr>
      </w:pP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Fiscal 2019 Executive Incentive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1, 2019, the Compensation Committee of the Board of Directors of American Superconductor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Committee</w:t>
      </w:r>
      <w:r>
        <w:rPr>
          <w:rFonts w:ascii="Arial" w:cs="Arial" w:eastAsia="Arial" w:hAnsi="Arial"/>
          <w:sz w:val="18"/>
          <w:szCs w:val="18"/>
          <w:color w:val="auto"/>
        </w:rPr>
        <w:t>”) and the Board of Directors of American Superconductor Corporation (the “Company”) approved an executive incentive plan for the Company’s fiscal year ending March 31, 2020 (“</w:t>
      </w:r>
      <w:r>
        <w:rPr>
          <w:rFonts w:ascii="Arial" w:cs="Arial" w:eastAsia="Arial" w:hAnsi="Arial"/>
          <w:sz w:val="18"/>
          <w:szCs w:val="18"/>
          <w:u w:val="single" w:color="auto"/>
          <w:color w:val="auto"/>
        </w:rPr>
        <w:t>fiscal 2019</w:t>
      </w:r>
      <w:r>
        <w:rPr>
          <w:rFonts w:ascii="Arial" w:cs="Arial" w:eastAsia="Arial" w:hAnsi="Arial"/>
          <w:sz w:val="18"/>
          <w:szCs w:val="18"/>
          <w:color w:val="auto"/>
        </w:rPr>
        <w:t>”). Participants in the plan include the Company’s chief executive officer, all other current executive officers and James F. Maguire, a former executive officer who was a named executive officer in our Definitive Proxy Statement on Schedule 14A,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on June 15, 2018. Pursuant to the plan, each participant is designated a target cash incentive amount, expressed as a percentage of the participant’s base salary. The Committee is responsible for determining the payout under the plan to each participant except the chief executive officer. The Board of Directors of the Company determines the payout under the plan for the chief executive officer, taking into account the recommendation of the Committee.</w:t>
      </w:r>
    </w:p>
    <w:p>
      <w:pPr>
        <w:spacing w:after="0" w:line="194" w:lineRule="exact"/>
        <w:rPr>
          <w:sz w:val="20"/>
          <w:szCs w:val="20"/>
          <w:color w:val="auto"/>
        </w:rPr>
      </w:pPr>
    </w:p>
    <w:p>
      <w:pPr>
        <w:jc w:val="both"/>
        <w:ind w:firstLine="444"/>
        <w:spacing w:after="0" w:line="262" w:lineRule="auto"/>
        <w:rPr>
          <w:sz w:val="20"/>
          <w:szCs w:val="20"/>
          <w:color w:val="auto"/>
        </w:rPr>
      </w:pPr>
      <w:r>
        <w:rPr>
          <w:rFonts w:ascii="Arial" w:cs="Arial" w:eastAsia="Arial" w:hAnsi="Arial"/>
          <w:sz w:val="18"/>
          <w:szCs w:val="18"/>
          <w:color w:val="auto"/>
        </w:rPr>
        <w:t>The amount of the incentive award actually paid to each participant may be less than or greater than the participant’s target cash incentive, with the amount capped at 200% of the target incentive. For each participant, individual incentive awards will be determined following the end of fiscal 2019 based on the following factors and their corresponding weightings:</w:t>
      </w:r>
    </w:p>
    <w:p>
      <w:pPr>
        <w:spacing w:after="0" w:line="182" w:lineRule="exact"/>
        <w:rPr>
          <w:sz w:val="20"/>
          <w:szCs w:val="20"/>
          <w:color w:val="auto"/>
        </w:rPr>
      </w:pPr>
    </w:p>
    <w:p>
      <w:pPr>
        <w:ind w:left="920" w:hanging="33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operating cash flow for fiscal 2019 as compared to the established target – 50%</w:t>
      </w:r>
    </w:p>
    <w:p>
      <w:pPr>
        <w:spacing w:after="0" w:line="223" w:lineRule="exact"/>
        <w:rPr>
          <w:rFonts w:ascii="Arial" w:cs="Arial" w:eastAsia="Arial" w:hAnsi="Arial"/>
          <w:sz w:val="18"/>
          <w:szCs w:val="18"/>
          <w:color w:val="auto"/>
        </w:rPr>
      </w:pPr>
    </w:p>
    <w:p>
      <w:pPr>
        <w:ind w:left="920" w:hanging="33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revenues for fiscal 2019 as compared to the established target – 25%</w:t>
      </w:r>
    </w:p>
    <w:p>
      <w:pPr>
        <w:spacing w:after="0" w:line="223" w:lineRule="exact"/>
        <w:rPr>
          <w:rFonts w:ascii="Arial" w:cs="Arial" w:eastAsia="Arial" w:hAnsi="Arial"/>
          <w:sz w:val="18"/>
          <w:szCs w:val="18"/>
          <w:color w:val="auto"/>
        </w:rPr>
      </w:pPr>
    </w:p>
    <w:p>
      <w:pPr>
        <w:ind w:left="920" w:hanging="33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operating expenses for fiscal 2019 as compared to the established target – 25%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target cash incentive for fiscal 2019 for each current executive officer and Mr. Maguire:</w:t>
      </w:r>
    </w:p>
    <w:p>
      <w:pPr>
        <w:spacing w:after="0" w:line="200" w:lineRule="exact"/>
        <w:rPr>
          <w:sz w:val="20"/>
          <w:szCs w:val="20"/>
          <w:color w:val="auto"/>
        </w:rPr>
      </w:pP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Target Incentive</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as % of</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3"/>
        </w:trPr>
        <w:tc>
          <w:tcPr>
            <w:tcW w:w="18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Executive Officer</w:t>
            </w:r>
          </w:p>
        </w:tc>
        <w:tc>
          <w:tcPr>
            <w:tcW w:w="120" w:type="dxa"/>
            <w:vAlign w:val="bottom"/>
          </w:tcPr>
          <w:p>
            <w:pPr>
              <w:spacing w:after="0"/>
              <w:rPr>
                <w:sz w:val="20"/>
                <w:szCs w:val="20"/>
                <w:color w:val="auto"/>
              </w:rPr>
            </w:pPr>
          </w:p>
        </w:tc>
        <w:tc>
          <w:tcPr>
            <w:tcW w:w="5580" w:type="dxa"/>
            <w:vAlign w:val="bottom"/>
            <w:tcBorders>
              <w:bottom w:val="single" w:sz="8" w:color="auto"/>
            </w:tcBorders>
          </w:tcPr>
          <w:p>
            <w:pPr>
              <w:ind w:left="26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300" w:type="dxa"/>
            <w:vAlign w:val="bottom"/>
          </w:tcPr>
          <w:p>
            <w:pPr>
              <w:spacing w:after="0"/>
              <w:rPr>
                <w:sz w:val="20"/>
                <w:szCs w:val="20"/>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Target Incentive</w:t>
            </w:r>
          </w:p>
        </w:tc>
        <w:tc>
          <w:tcPr>
            <w:tcW w:w="60" w:type="dxa"/>
            <w:vAlign w:val="bottom"/>
          </w:tcPr>
          <w:p>
            <w:pPr>
              <w:spacing w:after="0"/>
              <w:rPr>
                <w:sz w:val="20"/>
                <w:szCs w:val="20"/>
                <w:color w:val="auto"/>
              </w:rPr>
            </w:pPr>
          </w:p>
        </w:tc>
      </w:tr>
      <w:tr>
        <w:trPr>
          <w:trHeight w:val="209"/>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Daniel P. McGahn</w:t>
            </w: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Chairman, President and Chief Executive Officer</w:t>
            </w: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w:t>
            </w:r>
          </w:p>
        </w:tc>
      </w:tr>
      <w:tr>
        <w:trPr>
          <w:trHeight w:val="215"/>
        </w:trPr>
        <w:tc>
          <w:tcPr>
            <w:tcW w:w="1800" w:type="dxa"/>
            <w:vAlign w:val="bottom"/>
          </w:tcPr>
          <w:p>
            <w:pPr>
              <w:spacing w:after="0"/>
              <w:rPr>
                <w:sz w:val="20"/>
                <w:szCs w:val="20"/>
                <w:color w:val="auto"/>
              </w:rPr>
            </w:pPr>
            <w:r>
              <w:rPr>
                <w:rFonts w:ascii="Arial" w:cs="Arial" w:eastAsia="Arial" w:hAnsi="Arial"/>
                <w:sz w:val="18"/>
                <w:szCs w:val="18"/>
                <w:color w:val="auto"/>
              </w:rPr>
              <w:t>John W. Kosiba, Jr.</w:t>
            </w:r>
          </w:p>
        </w:tc>
        <w:tc>
          <w:tcPr>
            <w:tcW w:w="5700" w:type="dxa"/>
            <w:vAlign w:val="bottom"/>
            <w:gridSpan w:val="2"/>
          </w:tcPr>
          <w:p>
            <w:pPr>
              <w:ind w:left="120"/>
              <w:spacing w:after="0"/>
              <w:rPr>
                <w:sz w:val="20"/>
                <w:szCs w:val="20"/>
                <w:color w:val="auto"/>
              </w:rPr>
            </w:pPr>
            <w:r>
              <w:rPr>
                <w:rFonts w:ascii="Arial" w:cs="Arial" w:eastAsia="Arial" w:hAnsi="Arial"/>
                <w:sz w:val="18"/>
                <w:szCs w:val="18"/>
                <w:color w:val="auto"/>
              </w:rPr>
              <w:t>Senior Vice President, Chief Financial Officer and Treasurer</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r>
      <w:tr>
        <w:trPr>
          <w:trHeight w:val="215"/>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James F. Maguire</w:t>
            </w: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Executive Vice President, Technology</w:t>
            </w:r>
          </w:p>
        </w:tc>
        <w:tc>
          <w:tcPr>
            <w:tcW w:w="1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90,000</w:t>
            </w:r>
          </w:p>
        </w:tc>
      </w:tr>
    </w:tbl>
    <w:p>
      <w:pPr>
        <w:sectPr>
          <w:pgSz w:w="11900" w:h="16838" w:orient="portrait"/>
          <w:cols w:equalWidth="0" w:num="1">
            <w:col w:w="11420"/>
          </w:cols>
          <w:pgMar w:left="240" w:top="12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414395" cy="1092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4395" cy="1092835"/>
                    </a:xfrm>
                    <a:prstGeom prst="rect">
                      <a:avLst/>
                    </a:prstGeom>
                    <a:noFill/>
                  </pic:spPr>
                </pic:pic>
              </a:graphicData>
            </a:graphic>
          </wp:anchor>
        </w:drawing>
        <w:drawing>
          <wp:anchor simplePos="0" relativeHeight="251657728" behindDoc="1" locked="0" layoutInCell="0" allowOverlap="1">
            <wp:simplePos x="0" y="0"/>
            <wp:positionH relativeFrom="column">
              <wp:posOffset>6398260</wp:posOffset>
            </wp:positionH>
            <wp:positionV relativeFrom="paragraph">
              <wp:posOffset>281305</wp:posOffset>
            </wp:positionV>
            <wp:extent cx="853440" cy="836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3440" cy="83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line="247" w:lineRule="auto"/>
        <w:rPr>
          <w:sz w:val="20"/>
          <w:szCs w:val="20"/>
          <w:color w:val="auto"/>
        </w:rPr>
      </w:pPr>
      <w:r>
        <w:rPr>
          <w:rFonts w:ascii="Arial" w:cs="Arial" w:eastAsia="Arial" w:hAnsi="Arial"/>
          <w:sz w:val="50"/>
          <w:szCs w:val="50"/>
          <w:color w:val="00B0F0"/>
        </w:rPr>
        <w:t>AMSC Reports Fourth Quarter and Full Fiscal Year 2018 Financial Results and Provides Business Outlook</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9"/>
          <w:szCs w:val="29"/>
          <w:i w:val="1"/>
          <w:iCs w:val="1"/>
          <w:color w:val="50646E"/>
        </w:rPr>
        <w:t>Company to host conference call tomorrow, June 6 at 10:00 am ET</w:t>
      </w:r>
    </w:p>
    <w:p>
      <w:pPr>
        <w:spacing w:after="0" w:line="200" w:lineRule="exact"/>
        <w:rPr>
          <w:sz w:val="20"/>
          <w:szCs w:val="20"/>
          <w:color w:val="auto"/>
        </w:rPr>
      </w:pPr>
    </w:p>
    <w:p>
      <w:pPr>
        <w:spacing w:after="0" w:line="22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Ayer, MA – June 5, 2019 – </w:t>
      </w:r>
      <w:r>
        <w:rPr>
          <w:rFonts w:ascii="Arial" w:cs="Arial" w:eastAsia="Arial" w:hAnsi="Arial"/>
          <w:sz w:val="18"/>
          <w:szCs w:val="18"/>
          <w:color w:val="auto"/>
        </w:rPr>
        <w:t>AMSC (Nasdaq: AMSC), a global solutions provider serving power grid and wind industry leaders, today reported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its fourth quarter and full fiscal year 2018 ended March 31, 2019.</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Revenues for the fourth quarter of fiscal 2018 were $14.6 million, compared with $13.5 million for the same period of fiscal 2017. The year-over-year increase was driven by higher Grid and Wind segment revenues.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AMSC’s net loss for the fourth quarter of fiscal 2018 was $8.4 million, or $0.41 per share, compared to a net loss of $6.0 million, or $0.30 per share, for the same period of fiscal 2017. The Company’s non-GAAP net loss for the fourth quarter of fiscal 2018 was $4.6 million, or $0.23 per share, compared with a non-GAAP net loss of $5.0 million, or $0.25 per share, in the same period of fiscal 2017. Please refer to the financial table below for a reconciliation of GAAP to non-GAAP results.</w:t>
      </w:r>
    </w:p>
    <w:p>
      <w:pPr>
        <w:spacing w:after="0" w:line="18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Revenues for the full fiscal year 2018 were $56.2 million as compared to $48.4 million in fiscal year 2017. AMSC reported net income for fiscal year 2018 of $26.8 million, or $1.29 per diluted share, compared to a net loss of $32.8 million, or $1.73 per share in fiscal year 2017. The Company's non-GAAP net loss for full year fiscal 2018 was $13.0 million, or $0.64 per share, compared with a non-GAAP net loss of $32.2 million, or $1.70 per share, for fiscal year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on March 31, 2019 totaled $78.2 million, compared with $34.2 million at March 31, 2018.</w:t>
      </w:r>
    </w:p>
    <w:p>
      <w:pPr>
        <w:spacing w:after="0" w:line="223"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“In fiscal 2018, we grew and diversified our grid business and finished the year with a record grid backlog for execution in fiscal 2019. We also grew our wind business.” said Daniel P. McGahn, Chairman, President and CEO, AMSC. “We anticipate significant growth in our grid business in fiscal 2019, driven by expected higher revenues from D-VAR, VVO, SPS and REG. We expect to support Inox Wind Limited as they look to enhance their competitive position in the Indian wind market. In fiscal 2019, we look forward to growing AMSC from a position of financial and operational strength.”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1277620</wp:posOffset>
            </wp:positionV>
            <wp:extent cx="7247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1714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236220</wp:posOffset>
            </wp:positionV>
            <wp:extent cx="5121910" cy="819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21910" cy="81978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5" w:name="page6"/>
    <w:bookmarkEnd w:id="5"/>
    <w:p>
      <w:pPr>
        <w:ind w:left="160"/>
        <w:spacing w:after="0"/>
        <w:rPr>
          <w:sz w:val="20"/>
          <w:szCs w:val="20"/>
          <w:color w:val="auto"/>
        </w:rPr>
      </w:pPr>
      <w:r>
        <w:rPr>
          <w:rFonts w:ascii="Arial" w:cs="Arial" w:eastAsia="Arial" w:hAnsi="Arial"/>
          <w:sz w:val="22"/>
          <w:szCs w:val="22"/>
          <w:color w:val="auto"/>
        </w:rPr>
        <w:t>AMSC Reports Q4FY18 Results</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Page 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first quarter ending June 30, 2019, AMSC expects that its revenues will be in the range of $10 million to $13 million. The Company’s net loss for the first quarter of fiscal 2019 is expected not to exceed $9 million, or $0.42 per share. The Company's non-GAAP net loss (as defined below) is expected not to exceed $7.5 million, or $0.35 per share. The Company expects an operating cash flow to be a burn of $5 million to $7 million in the first quarter of fiscal 2019. This guidance does not include any tax payments or other costs related to the final settlement payment from Sinovel. The Company expects cash, cash equivalents and restricted cash on June 30, 2019, to be no less than $73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Reminder</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conjunction with this announcement, AMSC management will participate in a conference call with investors beginning at 10:00 a.m. Eastern Time on Thursday, June 6, 2019, to discuss the Company’s financial results and business outlook. Those who wish to listen to the live or archived conference call webcast should visit the “Investors” section of the Company’s website at http://www.amsc.com/investors. The live call also can be accessed by dialing 1-800-479-1004 or 1-323-794-2597 and using conference ID 7618827. A replay of the call may be accessed 2 hours following the call by dialing (888) 203-1112 or 719-457-0820 and using conference ID 7618827.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AMSC (Nasdaq: AMSC)</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AMSC generates the ideas, technologies and solutions that meet the world’s demand for smarter, cleaner … better energy™. Through its Gridtec™ Solutions, AMSC provides the engineering planning services and advanced grid systems that optimize network reliability, efficiency and performance. Through its Windtec™ Solutions, AMSC provides wind turbine electronic controls and systems, designs and engineering services that reduce the cost of wind energy. The Company’s solutions are now powering gigawatts of renewable energy globally and are enhancing the performance and reliability of power networks in more than a dozen countries. Founded in 1987, AMSC is headquartered near Boston, Massachusetts with operations in Asia, Australia, Europe and North America. For more information, please visit www.amsc.com.</w:t>
      </w:r>
    </w:p>
    <w:p>
      <w:pPr>
        <w:spacing w:after="0" w:line="200" w:lineRule="exact"/>
        <w:rPr>
          <w:sz w:val="20"/>
          <w:szCs w:val="20"/>
          <w:color w:val="auto"/>
        </w:rPr>
      </w:pP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AMSC, D-VAR, D-VAR VVO, Gridtec, Windtec, and Smarter, Cleaner … Better Energy are trademarks or registered trademarks of American Superconductor Corporation. All other brand names, product names, trademarks or service marks belong to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7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left="160"/>
        <w:spacing w:after="0"/>
        <w:rPr>
          <w:sz w:val="20"/>
          <w:szCs w:val="20"/>
          <w:color w:val="auto"/>
        </w:rPr>
      </w:pPr>
      <w:r>
        <w:rPr>
          <w:rFonts w:ascii="Arial" w:cs="Arial" w:eastAsia="Arial" w:hAnsi="Arial"/>
          <w:sz w:val="22"/>
          <w:szCs w:val="22"/>
          <w:color w:val="auto"/>
        </w:rPr>
        <w:t>AMSC Reports Q4FY18 Results</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Page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Forward-Looking Statements</w:t>
      </w:r>
    </w:p>
    <w:p>
      <w:pPr>
        <w:spacing w:after="0" w:line="223" w:lineRule="exact"/>
        <w:rPr>
          <w:sz w:val="20"/>
          <w:szCs w:val="20"/>
          <w:color w:val="auto"/>
        </w:rPr>
      </w:pPr>
    </w:p>
    <w:p>
      <w:pPr>
        <w:jc w:val="both"/>
        <w:ind w:left="140"/>
        <w:spacing w:after="0" w:line="281" w:lineRule="auto"/>
        <w:rPr>
          <w:sz w:val="20"/>
          <w:szCs w:val="20"/>
          <w:color w:val="auto"/>
        </w:rPr>
      </w:pPr>
      <w:r>
        <w:rPr>
          <w:rFonts w:ascii="Arial" w:cs="Arial" w:eastAsia="Arial" w:hAnsi="Arial"/>
          <w:sz w:val="16"/>
          <w:szCs w:val="16"/>
          <w:i w:val="1"/>
          <w:iCs w:val="1"/>
          <w:color w:val="auto"/>
        </w:rPr>
        <w:t>This press release contains forward-looking statements within the meaning of Section 21E of the Securities Exchange Act of 1934, as amended (the "Exchange Act"). Any statements in this release about our anticipation of significant growth in our grid business in fiscal 2019; our expected higher revenues from D-VAR, VVO, SPS and REG; our expectation that we will support Inox as they look to enhance their competitive position in the Indian wind market; AMSC growth in fiscal 2019 from a position of financial and operational strength; our expected GAAP and non-GAAP financial results for the quarter ending June 30, 2019, our expected cash, cash equivalents and restricted cash balance on June 30, 2019; and other statements containing the words "believes," "anticipates," "plans," "expects," "will" and similar expressions, constitute forward-looking statements within the meaning of the Private Securities Litigation Reform Act of 1995.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A significant portion of our revenues are derived from a single customer, Inox, and we cannot predict if and how successful Inox will be in executing on Solar Energy Corporate of India ("SECI") orders under the new central and state auction regime, and any related failure by Inox to succeed under this regime, or any delay in Inox’s ability to deliver its wind turbines, could result in fewer electric control systems shipments to Inox; We have a history of operating losses and negative operating cash flows, which may continue in the future and require us to secure additional financing in the future; Our operating results may fluctuate significantly from quarter to quarter and may fall below expectations in any particular fiscal quarter; We may be required to issue performance bonds or provide letters of credit, which restricts our ability to access any cash used as collateral for the bonds or letters of credit;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Our financial condition may have an adverse effect on our customer and supplier relationships; Our contracts with the U.S. government are subject to audit, modification or termination by the U.S. government and include certain other provisions in favor of the government, and additional funding of such contracts may not be approved by U.S. Congress; Our success in addressing the wind energy market is dependent on the manufacturers that license our designs; Our success is dependent upon attracting and retaining qualified personnel and our inability to do so could significantly damage our business and prospects; We may experience difficulties re-establishing our HTS wire production capability in our Ayer, Massachusetts facility; We may not realize all of the sales expected from our backlog of orders and contracts; Our business and operations would be adversely impacted in the event of a failure or security breach of our information technology infrastructure; Failure to comply with evolving data privacy and data protection laws and regulations or to otherwise protect personal data, may adversely impact our business and financial results; We rely upon third-party suppliers for the components and subassemblies of many of our Wind and Grid products, making us vulnerable to supply shortages and price fluctuations, which could harm our business;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may acquire additional complementary businesses or technologies, which may require us to incur substantial costs for which we may never realize the anticipated benefits; Our success depends upon the commercial adoption of the REG system, which is currently limited, and a widespread commercial market for our products may not develop; Growth of the wind energy market depends largely on the availability and size of government subsidies, economic incentives and legislative programs designed to support the growth of wind energy;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Our products face intense competition, which could limit our ability to acquire or retain customers; Our international operations are subject to risks that we do not face in the United States, which could have an adverse effect on our operating results; Lower prices for other fuel sources may reduce the demand for wind energy development, which could have a material adverse effect on our ability to grow our Wind business; Adverse changes in domestic and global economic conditions could adversely affect our operating results; We face risks related to our intellectual property; We face risks related to our technologies; We face risks related to our legal proceedings; We face risks related to our common stock; and the important factors discussed under the caption "Risk Factors" in Part 1. Item 1A of our Form 10-K for the fiscal year ended March 31, 2019,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72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7" w:name="page8"/>
    <w:bookmarkEnd w:id="7"/>
    <w:p>
      <w:pPr>
        <w:ind w:left="160"/>
        <w:spacing w:after="0"/>
        <w:rPr>
          <w:sz w:val="20"/>
          <w:szCs w:val="20"/>
          <w:color w:val="auto"/>
        </w:rPr>
      </w:pPr>
      <w:r>
        <w:rPr>
          <w:rFonts w:ascii="Arial" w:cs="Arial" w:eastAsia="Arial" w:hAnsi="Arial"/>
          <w:sz w:val="22"/>
          <w:szCs w:val="22"/>
          <w:color w:val="auto"/>
        </w:rPr>
        <w:t>AMSC Reports Q4FY18 Results</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Page 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4"/>
          </w:tcPr>
          <w:p>
            <w:pPr>
              <w:jc w:val="right"/>
              <w:ind w:right="204"/>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Twelve months ended</w:t>
            </w:r>
          </w:p>
        </w:tc>
      </w:tr>
      <w:tr>
        <w:trPr>
          <w:trHeight w:val="233"/>
        </w:trPr>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24"/>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420" w:type="dxa"/>
            <w:vAlign w:val="bottom"/>
          </w:tcPr>
          <w:p>
            <w:pPr>
              <w:ind w:left="160"/>
              <w:spacing w:after="0"/>
              <w:rPr>
                <w:sz w:val="20"/>
                <w:szCs w:val="20"/>
                <w:color w:val="auto"/>
              </w:rPr>
            </w:pPr>
            <w:r>
              <w:rPr>
                <w:rFonts w:ascii="Arial" w:cs="Arial" w:eastAsia="Arial" w:hAnsi="Arial"/>
                <w:sz w:val="18"/>
                <w:szCs w:val="18"/>
                <w:color w:val="auto"/>
              </w:rPr>
              <w:t>Grid</w:t>
            </w:r>
          </w:p>
        </w:tc>
        <w:tc>
          <w:tcPr>
            <w:tcW w:w="12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10,965</w:t>
            </w:r>
          </w:p>
        </w:tc>
        <w:tc>
          <w:tcPr>
            <w:tcW w:w="240" w:type="dxa"/>
            <w:vAlign w:val="bottom"/>
          </w:tcPr>
          <w:p>
            <w:pPr>
              <w:spacing w:after="0"/>
              <w:rPr>
                <w:sz w:val="18"/>
                <w:szCs w:val="18"/>
                <w:color w:val="auto"/>
              </w:rPr>
            </w:pP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9,670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34,290</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34,109</w:t>
            </w:r>
          </w:p>
        </w:tc>
      </w:tr>
      <w:tr>
        <w:trPr>
          <w:trHeight w:val="215"/>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Wind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21,917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14,294</w:t>
            </w:r>
          </w:p>
        </w:tc>
      </w:tr>
      <w:tr>
        <w:trPr>
          <w:trHeight w:val="20"/>
        </w:trPr>
        <w:tc>
          <w:tcPr>
            <w:tcW w:w="4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14,589</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13,498</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56,207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48,403</w:t>
            </w:r>
          </w:p>
        </w:tc>
      </w:tr>
      <w:tr>
        <w:trPr>
          <w:trHeight w:val="215"/>
        </w:trPr>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11,825</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10,504</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42,190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44,608</w:t>
            </w:r>
          </w:p>
        </w:tc>
      </w:tr>
      <w:tr>
        <w:trPr>
          <w:trHeight w:val="209"/>
        </w:trPr>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2,764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2,994</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14,017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3,795</w:t>
            </w:r>
          </w:p>
        </w:tc>
      </w:tr>
      <w:tr>
        <w:trPr>
          <w:trHeight w:val="215"/>
        </w:trPr>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11,594</w:t>
            </w:r>
          </w:p>
        </w:tc>
      </w:tr>
      <w:tr>
        <w:trPr>
          <w:trHeight w:val="215"/>
        </w:trPr>
        <w:tc>
          <w:tcPr>
            <w:tcW w:w="44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5,720</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5,614</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22,028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22,577</w:t>
            </w:r>
          </w:p>
        </w:tc>
      </w:tr>
      <w:tr>
        <w:trPr>
          <w:trHeight w:val="215"/>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Sinovel settlement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(52,698)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4420" w:type="dxa"/>
            <w:vAlign w:val="bottom"/>
          </w:tcPr>
          <w:p>
            <w:pPr>
              <w:ind w:left="340"/>
              <w:spacing w:after="0"/>
              <w:rPr>
                <w:sz w:val="20"/>
                <w:szCs w:val="20"/>
                <w:color w:val="auto"/>
              </w:rPr>
            </w:pPr>
            <w:r>
              <w:rPr>
                <w:rFonts w:ascii="Arial" w:cs="Arial" w:eastAsia="Arial" w:hAnsi="Arial"/>
                <w:sz w:val="18"/>
                <w:szCs w:val="18"/>
                <w:color w:val="auto"/>
              </w:rPr>
              <w:t>Amortization of acquisition related intangibles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5"/>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contingent consideration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5"/>
        </w:trPr>
        <w:tc>
          <w:tcPr>
            <w:tcW w:w="4420" w:type="dxa"/>
            <w:vAlign w:val="bottom"/>
          </w:tcPr>
          <w:p>
            <w:pPr>
              <w:ind w:left="340"/>
              <w:spacing w:after="0"/>
              <w:rPr>
                <w:sz w:val="20"/>
                <w:szCs w:val="20"/>
                <w:color w:val="auto"/>
              </w:rPr>
            </w:pPr>
            <w:r>
              <w:rPr>
                <w:rFonts w:ascii="Arial" w:cs="Arial" w:eastAsia="Arial" w:hAnsi="Arial"/>
                <w:sz w:val="18"/>
                <w:szCs w:val="18"/>
                <w:color w:val="auto"/>
              </w:rPr>
              <w:t>Restructuring and impairment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r>
      <w:tr>
        <w:trPr>
          <w:trHeight w:val="20"/>
        </w:trPr>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8,802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35,952</w:t>
            </w:r>
          </w:p>
        </w:tc>
      </w:tr>
      <w:tr>
        <w:trPr>
          <w:trHeight w:val="215"/>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(6,342)</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(5,808)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34,023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(32,157)</w:t>
            </w:r>
          </w:p>
        </w:tc>
      </w:tr>
      <w:tr>
        <w:trPr>
          <w:trHeight w:val="215"/>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and warrants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(1,068)</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Gain on sale of minority interests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r>
      <w:tr>
        <w:trPr>
          <w:trHeight w:val="215"/>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1,599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(2,800)</w:t>
            </w:r>
          </w:p>
        </w:tc>
      </w:tr>
      <w:tr>
        <w:trPr>
          <w:trHeight w:val="209"/>
        </w:trPr>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w w:val="95"/>
              </w:rPr>
              <w:t>Income (loss) before income tax benefit expense (benefit)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(6,521)</w:t>
            </w: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(6,652)</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33,141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(32,937)</w:t>
            </w:r>
          </w:p>
        </w:tc>
      </w:tr>
      <w:tr>
        <w:trPr>
          <w:trHeight w:val="215"/>
        </w:trPr>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1,832</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6,380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r>
      <w:tr>
        <w:trPr>
          <w:trHeight w:val="215"/>
        </w:trPr>
        <w:tc>
          <w:tcPr>
            <w:tcW w:w="4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12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(8,353)</w:t>
            </w: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(5,995)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26,761</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(32,776)</w:t>
            </w:r>
          </w:p>
        </w:tc>
      </w:tr>
      <w:tr>
        <w:trPr>
          <w:trHeight w:val="20"/>
        </w:trPr>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4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960" w:type="dxa"/>
            <w:vAlign w:val="bottom"/>
            <w:shd w:val="clear" w:color="auto" w:fill="CCEEFF"/>
          </w:tcPr>
          <w:p>
            <w:pPr>
              <w:jc w:val="right"/>
              <w:ind w:right="80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5"/>
        </w:trPr>
        <w:tc>
          <w:tcPr>
            <w:tcW w:w="4420" w:type="dxa"/>
            <w:vAlign w:val="bottom"/>
          </w:tcPr>
          <w:p>
            <w:pPr>
              <w:ind w:left="340"/>
              <w:spacing w:after="0" w:line="195" w:lineRule="exact"/>
              <w:rPr>
                <w:sz w:val="20"/>
                <w:szCs w:val="20"/>
                <w:color w:val="auto"/>
              </w:rPr>
            </w:pPr>
            <w:r>
              <w:rPr>
                <w:rFonts w:ascii="Arial" w:cs="Arial" w:eastAsia="Arial" w:hAnsi="Arial"/>
                <w:sz w:val="18"/>
                <w:szCs w:val="18"/>
                <w:color w:val="auto"/>
              </w:rPr>
              <w:t>Diluted</w:t>
            </w:r>
          </w:p>
        </w:tc>
        <w:tc>
          <w:tcPr>
            <w:tcW w:w="1240" w:type="dxa"/>
            <w:vAlign w:val="bottom"/>
            <w:gridSpan w:val="2"/>
          </w:tcPr>
          <w:p>
            <w:pPr>
              <w:jc w:val="right"/>
              <w:ind w:right="790"/>
              <w:spacing w:after="0" w:line="195"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(0.41)</w:t>
            </w: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(0.30)</w:t>
            </w: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1.29</w:t>
            </w:r>
          </w:p>
        </w:tc>
        <w:tc>
          <w:tcPr>
            <w:tcW w:w="50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(1.73)</w:t>
            </w:r>
          </w:p>
        </w:tc>
      </w:tr>
      <w:tr>
        <w:trPr>
          <w:trHeight w:val="20"/>
        </w:trPr>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4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w w:val="94"/>
              </w:rPr>
              <w:t>Weighted average number of common shares outstanding</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20,442</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20,044</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20,335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18,967</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5"/>
        </w:trPr>
        <w:tc>
          <w:tcPr>
            <w:tcW w:w="4420" w:type="dxa"/>
            <w:vAlign w:val="bottom"/>
          </w:tcPr>
          <w:p>
            <w:pPr>
              <w:ind w:left="340"/>
              <w:spacing w:after="0" w:line="195" w:lineRule="exact"/>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w w:val="94"/>
              </w:rPr>
              <w:t>20,442</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w w:val="90"/>
              </w:rPr>
              <w:t>20,044</w:t>
            </w:r>
          </w:p>
        </w:tc>
        <w:tc>
          <w:tcPr>
            <w:tcW w:w="320" w:type="dxa"/>
            <w:vAlign w:val="bottom"/>
          </w:tcPr>
          <w:p>
            <w:pPr>
              <w:spacing w:after="0"/>
              <w:rPr>
                <w:sz w:val="16"/>
                <w:szCs w:val="16"/>
                <w:color w:val="auto"/>
              </w:rPr>
            </w:pPr>
          </w:p>
        </w:tc>
        <w:tc>
          <w:tcPr>
            <w:tcW w:w="128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20,726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18,967</w:t>
            </w:r>
          </w:p>
        </w:tc>
      </w:tr>
      <w:tr>
        <w:trPr>
          <w:trHeight w:val="20"/>
        </w:trPr>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2"/>
        </w:trPr>
        <w:tc>
          <w:tcPr>
            <w:tcW w:w="4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ind w:left="160"/>
        <w:spacing w:after="0"/>
        <w:rPr>
          <w:sz w:val="20"/>
          <w:szCs w:val="20"/>
          <w:color w:val="auto"/>
        </w:rPr>
      </w:pPr>
      <w:r>
        <w:rPr>
          <w:rFonts w:ascii="Arial" w:cs="Arial" w:eastAsia="Arial" w:hAnsi="Arial"/>
          <w:sz w:val="22"/>
          <w:szCs w:val="22"/>
          <w:color w:val="auto"/>
        </w:rPr>
        <w:t>AMSC Reports Q4FY18 Results</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Page 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March 31,</w:t>
            </w:r>
          </w:p>
        </w:tc>
      </w:tr>
      <w:tr>
        <w:trPr>
          <w:trHeight w:val="233"/>
        </w:trPr>
        <w:tc>
          <w:tcPr>
            <w:tcW w:w="7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09"/>
        </w:trPr>
        <w:tc>
          <w:tcPr>
            <w:tcW w:w="7900" w:type="dxa"/>
            <w:vAlign w:val="bottom"/>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34,084</w:t>
            </w:r>
          </w:p>
        </w:tc>
      </w:tr>
      <w:tr>
        <w:trPr>
          <w:trHeight w:val="215"/>
        </w:trPr>
        <w:tc>
          <w:tcPr>
            <w:tcW w:w="790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7,365</w:t>
            </w:r>
          </w:p>
        </w:tc>
      </w:tr>
      <w:tr>
        <w:trPr>
          <w:trHeight w:val="215"/>
        </w:trPr>
        <w:tc>
          <w:tcPr>
            <w:tcW w:w="7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19,780</w:t>
            </w:r>
          </w:p>
        </w:tc>
      </w:tr>
      <w:tr>
        <w:trPr>
          <w:trHeight w:val="215"/>
        </w:trPr>
        <w:tc>
          <w:tcPr>
            <w:tcW w:w="7900" w:type="dxa"/>
            <w:vAlign w:val="bottom"/>
          </w:tcPr>
          <w:p>
            <w:pPr>
              <w:ind w:left="500"/>
              <w:spacing w:after="0"/>
              <w:rPr>
                <w:sz w:val="20"/>
                <w:szCs w:val="20"/>
                <w:color w:val="auto"/>
              </w:rPr>
            </w:pPr>
            <w:r>
              <w:rPr>
                <w:rFonts w:ascii="Arial" w:cs="Arial" w:eastAsia="Arial" w:hAnsi="Arial"/>
                <w:sz w:val="18"/>
                <w:szCs w:val="18"/>
                <w:color w:val="auto"/>
              </w:rPr>
              <w:t>Note receivable, current portion</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15"/>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00" w:type="dxa"/>
            <w:vAlign w:val="bottom"/>
          </w:tcPr>
          <w:p>
            <w:pPr>
              <w:ind w:left="9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103,398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67,176</w:t>
            </w:r>
          </w:p>
        </w:tc>
      </w:tr>
      <w:tr>
        <w:trPr>
          <w:trHeight w:val="215"/>
        </w:trPr>
        <w:tc>
          <w:tcPr>
            <w:tcW w:w="7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00" w:type="dxa"/>
            <w:vAlign w:val="bottom"/>
          </w:tcPr>
          <w:p>
            <w:pPr>
              <w:ind w:left="50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12,513</w:t>
            </w:r>
          </w:p>
        </w:tc>
      </w:tr>
      <w:tr>
        <w:trPr>
          <w:trHeight w:val="215"/>
        </w:trPr>
        <w:tc>
          <w:tcPr>
            <w:tcW w:w="7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Intangibles, net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w:t>
            </w:r>
          </w:p>
        </w:tc>
      </w:tr>
      <w:tr>
        <w:trPr>
          <w:trHeight w:val="215"/>
        </w:trPr>
        <w:tc>
          <w:tcPr>
            <w:tcW w:w="7900" w:type="dxa"/>
            <w:vAlign w:val="bottom"/>
          </w:tcPr>
          <w:p>
            <w:pPr>
              <w:ind w:left="500"/>
              <w:spacing w:after="0"/>
              <w:rPr>
                <w:sz w:val="20"/>
                <w:szCs w:val="20"/>
                <w:color w:val="auto"/>
              </w:rPr>
            </w:pPr>
            <w:r>
              <w:rPr>
                <w:rFonts w:ascii="Arial" w:cs="Arial" w:eastAsia="Arial" w:hAnsi="Arial"/>
                <w:sz w:val="18"/>
                <w:szCs w:val="18"/>
                <w:color w:val="auto"/>
              </w:rPr>
              <w:t>Note receivable, long term portion</w:t>
            </w:r>
          </w:p>
        </w:tc>
        <w:tc>
          <w:tcPr>
            <w:tcW w:w="2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2,559</w:t>
            </w:r>
          </w:p>
        </w:tc>
      </w:tr>
      <w:tr>
        <w:trPr>
          <w:trHeight w:val="215"/>
        </w:trPr>
        <w:tc>
          <w:tcPr>
            <w:tcW w:w="7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r>
      <w:tr>
        <w:trPr>
          <w:trHeight w:val="215"/>
        </w:trPr>
        <w:tc>
          <w:tcPr>
            <w:tcW w:w="7900" w:type="dxa"/>
            <w:vAlign w:val="bottom"/>
          </w:tcPr>
          <w:p>
            <w:pPr>
              <w:ind w:left="50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5"/>
        </w:trPr>
        <w:tc>
          <w:tcPr>
            <w:tcW w:w="7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r>
      <w:tr>
        <w:trPr>
          <w:trHeight w:val="215"/>
        </w:trPr>
        <w:tc>
          <w:tcPr>
            <w:tcW w:w="790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209"/>
        </w:trPr>
        <w:tc>
          <w:tcPr>
            <w:tcW w:w="79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00" w:type="dxa"/>
            <w:vAlign w:val="bottom"/>
          </w:tcPr>
          <w:p>
            <w:pPr>
              <w:ind w:left="98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119,330</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88,175</w:t>
            </w:r>
          </w:p>
        </w:tc>
      </w:tr>
      <w:tr>
        <w:trPr>
          <w:trHeight w:val="20"/>
        </w:trPr>
        <w:tc>
          <w:tcPr>
            <w:tcW w:w="7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7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90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12,625</w:t>
            </w:r>
          </w:p>
        </w:tc>
      </w:tr>
      <w:tr>
        <w:trPr>
          <w:trHeight w:val="215"/>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r>
      <w:tr>
        <w:trPr>
          <w:trHeight w:val="215"/>
        </w:trPr>
        <w:tc>
          <w:tcPr>
            <w:tcW w:w="7900" w:type="dxa"/>
            <w:vAlign w:val="bottom"/>
          </w:tcPr>
          <w:p>
            <w:pPr>
              <w:ind w:left="340"/>
              <w:spacing w:after="0"/>
              <w:rPr>
                <w:sz w:val="20"/>
                <w:szCs w:val="20"/>
                <w:color w:val="auto"/>
              </w:rPr>
            </w:pPr>
            <w:r>
              <w:rPr>
                <w:rFonts w:ascii="Arial" w:cs="Arial" w:eastAsia="Arial" w:hAnsi="Arial"/>
                <w:sz w:val="18"/>
                <w:szCs w:val="18"/>
                <w:color w:val="auto"/>
              </w:rPr>
              <w:t>Deferred revenue, current portion</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13,483</w:t>
            </w:r>
          </w:p>
        </w:tc>
        <w:tc>
          <w:tcPr>
            <w:tcW w:w="100" w:type="dxa"/>
            <w:vAlign w:val="bottom"/>
          </w:tcPr>
          <w:p>
            <w:pPr>
              <w:spacing w:after="0"/>
              <w:rPr>
                <w:sz w:val="18"/>
                <w:szCs w:val="18"/>
                <w:color w:val="auto"/>
              </w:rPr>
            </w:pPr>
          </w:p>
        </w:tc>
      </w:tr>
      <w:tr>
        <w:trPr>
          <w:trHeight w:val="209"/>
        </w:trPr>
        <w:tc>
          <w:tcPr>
            <w:tcW w:w="79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27,325</w:t>
            </w:r>
          </w:p>
        </w:tc>
      </w:tr>
      <w:tr>
        <w:trPr>
          <w:trHeight w:val="215"/>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long term portion</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8,454</w:t>
            </w:r>
          </w:p>
        </w:tc>
      </w:tr>
      <w:tr>
        <w:trPr>
          <w:trHeight w:val="215"/>
        </w:trPr>
        <w:tc>
          <w:tcPr>
            <w:tcW w:w="790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5"/>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00" w:type="dxa"/>
            <w:vAlign w:val="bottom"/>
          </w:tcPr>
          <w:p>
            <w:pPr>
              <w:ind w:left="98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38,137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35,946</w:t>
            </w:r>
          </w:p>
        </w:tc>
      </w:tr>
      <w:tr>
        <w:trPr>
          <w:trHeight w:val="209"/>
        </w:trPr>
        <w:tc>
          <w:tcPr>
            <w:tcW w:w="79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0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7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$0.01 par value, 75,000,000 shares authorized; 21,651,631 and 21,138,689 shares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at March 31, 2019 and 2018, respectively</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15"/>
        </w:trPr>
        <w:tc>
          <w:tcPr>
            <w:tcW w:w="79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1,044,622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1,041,113</w:t>
            </w:r>
          </w:p>
        </w:tc>
      </w:tr>
      <w:tr>
        <w:trPr>
          <w:trHeight w:val="215"/>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Treasury stock, at cost, 235,518 and 165,094 shares at March 31, 2019 and 2018, respectively</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(1,645)</w:t>
            </w:r>
          </w:p>
        </w:tc>
      </w:tr>
      <w:tr>
        <w:trPr>
          <w:trHeight w:val="215"/>
        </w:trPr>
        <w:tc>
          <w:tcPr>
            <w:tcW w:w="7900" w:type="dxa"/>
            <w:vAlign w:val="bottom"/>
          </w:tcPr>
          <w:p>
            <w:pPr>
              <w:ind w:left="340"/>
              <w:spacing w:after="0"/>
              <w:rPr>
                <w:sz w:val="20"/>
                <w:szCs w:val="20"/>
                <w:color w:val="auto"/>
              </w:rPr>
            </w:pPr>
            <w:r>
              <w:rPr>
                <w:rFonts w:ascii="Arial" w:cs="Arial" w:eastAsia="Arial" w:hAnsi="Arial"/>
                <w:sz w:val="18"/>
                <w:szCs w:val="18"/>
                <w:color w:val="auto"/>
              </w:rPr>
              <w:t>Accumulated other comprehensive (loss) income</w:t>
            </w:r>
          </w:p>
        </w:tc>
        <w:tc>
          <w:tcPr>
            <w:tcW w:w="2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883</w:t>
            </w:r>
          </w:p>
        </w:tc>
      </w:tr>
      <w:tr>
        <w:trPr>
          <w:trHeight w:val="215"/>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(961,539)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(988,333)</w:t>
            </w:r>
          </w:p>
        </w:tc>
      </w:tr>
      <w:tr>
        <w:trPr>
          <w:trHeight w:val="209"/>
        </w:trPr>
        <w:tc>
          <w:tcPr>
            <w:tcW w:w="7900" w:type="dxa"/>
            <w:vAlign w:val="bottom"/>
            <w:tcBorders>
              <w:top w:val="single" w:sz="8" w:color="CCEEFF"/>
            </w:tcBorders>
          </w:tcPr>
          <w:p>
            <w:pPr>
              <w:ind w:left="9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81,193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52,229</w:t>
            </w:r>
          </w:p>
        </w:tc>
        <w:tc>
          <w:tcPr>
            <w:tcW w:w="100" w:type="dxa"/>
            <w:vAlign w:val="bottom"/>
            <w:tcBorders>
              <w:top w:val="single" w:sz="8" w:color="CCEEFF"/>
            </w:tcBorders>
          </w:tcPr>
          <w:p>
            <w:pPr>
              <w:spacing w:after="0"/>
              <w:rPr>
                <w:sz w:val="18"/>
                <w:szCs w:val="18"/>
                <w:color w:val="auto"/>
              </w:rPr>
            </w:pPr>
          </w:p>
        </w:tc>
      </w:tr>
      <w:tr>
        <w:trPr>
          <w:trHeight w:val="209"/>
        </w:trPr>
        <w:tc>
          <w:tcPr>
            <w:tcW w:w="7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00" w:type="dxa"/>
            <w:vAlign w:val="bottom"/>
          </w:tcPr>
          <w:p>
            <w:pPr>
              <w:ind w:left="9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119,330</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88,175</w:t>
            </w:r>
          </w:p>
        </w:tc>
      </w:tr>
      <w:tr>
        <w:trPr>
          <w:trHeight w:val="20"/>
        </w:trPr>
        <w:tc>
          <w:tcPr>
            <w:tcW w:w="7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2"/>
        </w:trPr>
        <w:tc>
          <w:tcPr>
            <w:tcW w:w="7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ind w:left="160"/>
        <w:spacing w:after="0"/>
        <w:rPr>
          <w:sz w:val="20"/>
          <w:szCs w:val="20"/>
          <w:color w:val="auto"/>
        </w:rPr>
      </w:pPr>
      <w:r>
        <w:rPr>
          <w:rFonts w:ascii="Arial" w:cs="Arial" w:eastAsia="Arial" w:hAnsi="Arial"/>
          <w:sz w:val="22"/>
          <w:szCs w:val="22"/>
          <w:color w:val="auto"/>
        </w:rPr>
        <w:t>AMSC Reports Q4FY18 Results</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Page 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Twelve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6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22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26,761</w:t>
            </w:r>
          </w:p>
        </w:tc>
        <w:tc>
          <w:tcPr>
            <w:tcW w:w="10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(32,776)</w:t>
            </w:r>
          </w:p>
        </w:tc>
      </w:tr>
      <w:tr>
        <w:trPr>
          <w:trHeight w:val="215"/>
        </w:trPr>
        <w:tc>
          <w:tcPr>
            <w:tcW w:w="672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11,459</w:t>
            </w:r>
          </w:p>
        </w:tc>
      </w:tr>
      <w:tr>
        <w:trPr>
          <w:trHeight w:val="215"/>
        </w:trPr>
        <w:tc>
          <w:tcPr>
            <w:tcW w:w="672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3,030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2,692</w:t>
            </w:r>
          </w:p>
        </w:tc>
      </w:tr>
      <w:tr>
        <w:trPr>
          <w:trHeight w:val="215"/>
        </w:trPr>
        <w:tc>
          <w:tcPr>
            <w:tcW w:w="6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15"/>
        </w:trPr>
        <w:tc>
          <w:tcPr>
            <w:tcW w:w="6720" w:type="dxa"/>
            <w:vAlign w:val="bottom"/>
          </w:tcPr>
          <w:p>
            <w:pPr>
              <w:ind w:left="500"/>
              <w:spacing w:after="0"/>
              <w:rPr>
                <w:sz w:val="20"/>
                <w:szCs w:val="20"/>
                <w:color w:val="auto"/>
              </w:rPr>
            </w:pPr>
            <w:r>
              <w:rPr>
                <w:rFonts w:ascii="Arial" w:cs="Arial" w:eastAsia="Arial" w:hAnsi="Arial"/>
                <w:sz w:val="18"/>
                <w:szCs w:val="18"/>
                <w:color w:val="auto"/>
              </w:rPr>
              <w:t>Write-off prepaid taxes</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15"/>
        </w:trPr>
        <w:tc>
          <w:tcPr>
            <w:tcW w:w="6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sale from minority interest investments</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w:t>
            </w:r>
          </w:p>
        </w:tc>
      </w:tr>
      <w:tr>
        <w:trPr>
          <w:trHeight w:val="215"/>
        </w:trPr>
        <w:tc>
          <w:tcPr>
            <w:tcW w:w="6720" w:type="dxa"/>
            <w:vAlign w:val="bottom"/>
          </w:tcPr>
          <w:p>
            <w:pPr>
              <w:ind w:left="500"/>
              <w:spacing w:after="0"/>
              <w:rPr>
                <w:sz w:val="20"/>
                <w:szCs w:val="20"/>
                <w:color w:val="auto"/>
              </w:rPr>
            </w:pPr>
            <w:r>
              <w:rPr>
                <w:rFonts w:ascii="Arial" w:cs="Arial" w:eastAsia="Arial" w:hAnsi="Arial"/>
                <w:sz w:val="18"/>
                <w:szCs w:val="18"/>
                <w:color w:val="auto"/>
              </w:rPr>
              <w:t>Change in fair value of warrants and contingent consideration</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3,725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(635)</w:t>
            </w:r>
          </w:p>
        </w:tc>
      </w:tr>
      <w:tr>
        <w:trPr>
          <w:trHeight w:val="215"/>
        </w:trPr>
        <w:tc>
          <w:tcPr>
            <w:tcW w:w="6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Non-cash interest expense</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5"/>
        </w:trPr>
        <w:tc>
          <w:tcPr>
            <w:tcW w:w="6720" w:type="dxa"/>
            <w:vAlign w:val="bottom"/>
          </w:tcPr>
          <w:p>
            <w:pPr>
              <w:ind w:left="500"/>
              <w:spacing w:after="0"/>
              <w:rPr>
                <w:sz w:val="20"/>
                <w:szCs w:val="20"/>
                <w:color w:val="auto"/>
              </w:rPr>
            </w:pPr>
            <w:r>
              <w:rPr>
                <w:rFonts w:ascii="Arial" w:cs="Arial" w:eastAsia="Arial" w:hAnsi="Arial"/>
                <w:sz w:val="18"/>
                <w:szCs w:val="18"/>
                <w:color w:val="auto"/>
              </w:rPr>
              <w:t>Other non-cash items</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r>
      <w:tr>
        <w:trPr>
          <w:trHeight w:val="215"/>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 and liability accounts:</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7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r>
      <w:tr>
        <w:trPr>
          <w:trHeight w:val="215"/>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(2,423)</w:t>
            </w:r>
          </w:p>
        </w:tc>
      </w:tr>
      <w:tr>
        <w:trPr>
          <w:trHeight w:val="215"/>
        </w:trPr>
        <w:tc>
          <w:tcPr>
            <w:tcW w:w="67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r>
      <w:tr>
        <w:trPr>
          <w:trHeight w:val="215"/>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(2,956)</w:t>
            </w:r>
          </w:p>
        </w:tc>
      </w:tr>
      <w:tr>
        <w:trPr>
          <w:trHeight w:val="215"/>
        </w:trPr>
        <w:tc>
          <w:tcPr>
            <w:tcW w:w="67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(2,773)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(1,888)</w:t>
            </w:r>
          </w:p>
        </w:tc>
      </w:tr>
      <w:tr>
        <w:trPr>
          <w:trHeight w:val="20"/>
        </w:trPr>
        <w:tc>
          <w:tcPr>
            <w:tcW w:w="6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(used in) operating activities</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42,714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(24,827)</w:t>
            </w:r>
          </w:p>
        </w:tc>
      </w:tr>
      <w:tr>
        <w:trPr>
          <w:trHeight w:val="209"/>
        </w:trPr>
        <w:tc>
          <w:tcPr>
            <w:tcW w:w="67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720" w:type="dxa"/>
            <w:vAlign w:val="bottom"/>
          </w:tcPr>
          <w:p>
            <w:pPr>
              <w:ind w:left="340"/>
              <w:spacing w:after="0"/>
              <w:rPr>
                <w:sz w:val="20"/>
                <w:szCs w:val="20"/>
                <w:color w:val="auto"/>
              </w:rPr>
            </w:pPr>
            <w:r>
              <w:rPr>
                <w:rFonts w:ascii="Arial" w:cs="Arial" w:eastAsia="Arial" w:hAnsi="Arial"/>
                <w:sz w:val="18"/>
                <w:szCs w:val="18"/>
                <w:color w:val="auto"/>
              </w:rPr>
              <w:t>Net cash provided by investing activities</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2,169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15,602</w:t>
            </w:r>
          </w:p>
        </w:tc>
      </w:tr>
      <w:tr>
        <w:trPr>
          <w:trHeight w:val="209"/>
        </w:trPr>
        <w:tc>
          <w:tcPr>
            <w:tcW w:w="6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15,278</w:t>
            </w:r>
          </w:p>
        </w:tc>
      </w:tr>
      <w:tr>
        <w:trPr>
          <w:trHeight w:val="209"/>
        </w:trPr>
        <w:tc>
          <w:tcPr>
            <w:tcW w:w="67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r>
      <w:tr>
        <w:trPr>
          <w:trHeight w:val="209"/>
        </w:trPr>
        <w:tc>
          <w:tcPr>
            <w:tcW w:w="67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43,949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6,505</w:t>
            </w: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34,249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27,744</w:t>
            </w:r>
          </w:p>
        </w:tc>
        <w:tc>
          <w:tcPr>
            <w:tcW w:w="100" w:type="dxa"/>
            <w:vAlign w:val="bottom"/>
          </w:tcPr>
          <w:p>
            <w:pPr>
              <w:spacing w:after="0"/>
              <w:rPr>
                <w:sz w:val="18"/>
                <w:szCs w:val="18"/>
                <w:color w:val="auto"/>
              </w:rPr>
            </w:pPr>
          </w:p>
        </w:tc>
      </w:tr>
      <w:tr>
        <w:trPr>
          <w:trHeight w:val="24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22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78,198</w:t>
            </w:r>
          </w:p>
        </w:tc>
        <w:tc>
          <w:tcPr>
            <w:tcW w:w="10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34,249</w:t>
            </w:r>
          </w:p>
        </w:tc>
      </w:tr>
      <w:tr>
        <w:trPr>
          <w:trHeight w:val="552"/>
        </w:trPr>
        <w:tc>
          <w:tcPr>
            <w:tcW w:w="67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ind w:left="160"/>
        <w:spacing w:after="0"/>
        <w:rPr>
          <w:sz w:val="20"/>
          <w:szCs w:val="20"/>
          <w:color w:val="auto"/>
        </w:rPr>
      </w:pPr>
      <w:r>
        <w:rPr>
          <w:rFonts w:ascii="Arial" w:cs="Arial" w:eastAsia="Arial" w:hAnsi="Arial"/>
          <w:sz w:val="22"/>
          <w:szCs w:val="22"/>
          <w:color w:val="auto"/>
        </w:rPr>
        <w:t>AMSC Reports Q4FY18 Results</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Page 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NET INCOME (LOSS) TO NON-GAAP NET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64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88"/>
              </w:rPr>
              <w:t>Twelve months ended</w:t>
            </w:r>
          </w:p>
        </w:tc>
      </w:tr>
      <w:tr>
        <w:trPr>
          <w:trHeight w:val="233"/>
        </w:trPr>
        <w:tc>
          <w:tcPr>
            <w:tcW w:w="11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11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09"/>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(8,353)</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(32,776)</w:t>
            </w: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Gain on sale of interest in minority investments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(1,167)</w:t>
            </w:r>
          </w:p>
        </w:tc>
      </w:tr>
      <w:tr>
        <w:trPr>
          <w:trHeight w:val="215"/>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Sinovel settlement, net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629</w:t>
            </w:r>
          </w:p>
        </w:tc>
        <w:tc>
          <w:tcPr>
            <w:tcW w:w="3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578</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2,692</w:t>
            </w:r>
          </w:p>
        </w:tc>
      </w:tr>
      <w:tr>
        <w:trPr>
          <w:trHeight w:val="215"/>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Consumption of zero cost-basis inventory</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(734)</w:t>
            </w:r>
          </w:p>
        </w:tc>
      </w:tr>
      <w:tr>
        <w:trPr>
          <w:trHeight w:val="215"/>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warrants and contingent consideration</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1,068</w:t>
            </w:r>
          </w:p>
        </w:tc>
        <w:tc>
          <w:tcPr>
            <w:tcW w:w="3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Non-cash interest expense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5"/>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 of adjustments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0"/>
        </w:trPr>
        <w:tc>
          <w:tcPr>
            <w:tcW w:w="116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60" w:type="dxa"/>
            <w:vAlign w:val="bottom"/>
            <w:gridSpan w:val="2"/>
          </w:tcPr>
          <w:p>
            <w:pPr>
              <w:spacing w:after="0"/>
              <w:rPr>
                <w:sz w:val="20"/>
                <w:szCs w:val="20"/>
                <w:color w:val="auto"/>
              </w:rPr>
            </w:pPr>
            <w:r>
              <w:rPr>
                <w:rFonts w:ascii="Arial" w:cs="Arial" w:eastAsia="Arial" w:hAnsi="Arial"/>
                <w:sz w:val="18"/>
                <w:szCs w:val="18"/>
                <w:color w:val="auto"/>
              </w:rPr>
              <w:t>Non-GAAP net loss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(4,638)</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(13,044)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(32,241)</w:t>
            </w: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16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Non-GAAP net loss per share</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49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outstanding - basic and diluted</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line="195" w:lineRule="exact"/>
              <w:rPr>
                <w:sz w:val="20"/>
                <w:szCs w:val="20"/>
                <w:color w:val="auto"/>
              </w:rPr>
            </w:pPr>
            <w:r>
              <w:rPr>
                <w:rFonts w:ascii="Arial" w:cs="Arial" w:eastAsia="Arial" w:hAnsi="Arial"/>
                <w:sz w:val="18"/>
                <w:szCs w:val="18"/>
                <w:color w:val="auto"/>
              </w:rPr>
              <w:t>20,442</w:t>
            </w:r>
          </w:p>
        </w:tc>
        <w:tc>
          <w:tcPr>
            <w:tcW w:w="36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260"/>
              <w:spacing w:after="0" w:line="195" w:lineRule="exact"/>
              <w:rPr>
                <w:sz w:val="20"/>
                <w:szCs w:val="20"/>
                <w:color w:val="auto"/>
              </w:rPr>
            </w:pPr>
            <w:r>
              <w:rPr>
                <w:rFonts w:ascii="Arial" w:cs="Arial" w:eastAsia="Arial" w:hAnsi="Arial"/>
                <w:sz w:val="18"/>
                <w:szCs w:val="18"/>
                <w:color w:val="auto"/>
              </w:rPr>
              <w:t>20,044</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line="195" w:lineRule="exact"/>
              <w:rPr>
                <w:sz w:val="20"/>
                <w:szCs w:val="20"/>
                <w:color w:val="auto"/>
              </w:rPr>
            </w:pPr>
            <w:r>
              <w:rPr>
                <w:rFonts w:ascii="Arial" w:cs="Arial" w:eastAsia="Arial" w:hAnsi="Arial"/>
                <w:sz w:val="18"/>
                <w:szCs w:val="18"/>
                <w:color w:val="auto"/>
              </w:rPr>
              <w:t>20,335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95" w:lineRule="exact"/>
              <w:rPr>
                <w:sz w:val="20"/>
                <w:szCs w:val="20"/>
                <w:color w:val="auto"/>
              </w:rPr>
            </w:pPr>
            <w:r>
              <w:rPr>
                <w:rFonts w:ascii="Arial" w:cs="Arial" w:eastAsia="Arial" w:hAnsi="Arial"/>
                <w:sz w:val="18"/>
                <w:szCs w:val="18"/>
                <w:color w:val="auto"/>
              </w:rPr>
              <w:t>18,967</w:t>
            </w:r>
          </w:p>
        </w:tc>
      </w:tr>
      <w:tr>
        <w:trPr>
          <w:trHeight w:val="627"/>
        </w:trPr>
        <w:tc>
          <w:tcPr>
            <w:tcW w:w="1160" w:type="dxa"/>
            <w:vAlign w:val="bottom"/>
          </w:tcPr>
          <w:p>
            <w:pPr>
              <w:spacing w:after="0"/>
              <w:rPr>
                <w:sz w:val="24"/>
                <w:szCs w:val="24"/>
                <w:color w:val="auto"/>
              </w:rPr>
            </w:pPr>
          </w:p>
        </w:tc>
        <w:tc>
          <w:tcPr>
            <w:tcW w:w="8920" w:type="dxa"/>
            <w:vAlign w:val="bottom"/>
            <w:gridSpan w:val="11"/>
          </w:tcPr>
          <w:p>
            <w:pPr>
              <w:jc w:val="right"/>
              <w:ind w:right="240"/>
              <w:spacing w:after="0"/>
              <w:rPr>
                <w:sz w:val="20"/>
                <w:szCs w:val="20"/>
                <w:color w:val="auto"/>
              </w:rPr>
            </w:pPr>
            <w:r>
              <w:rPr>
                <w:rFonts w:ascii="Arial" w:cs="Arial" w:eastAsia="Arial" w:hAnsi="Arial"/>
                <w:sz w:val="18"/>
                <w:szCs w:val="18"/>
                <w:b w:val="1"/>
                <w:bCs w:val="1"/>
                <w:color w:val="auto"/>
              </w:rPr>
              <w:t>RECONCILIATION OF GAAP OPERATING CASH FLOW TO NON-GAAP OPERATING CASH FLOW</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93"/>
              </w:rPr>
              <w:t>March 31, 2019</w:t>
            </w: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1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42,714</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1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2"/>
              </w:rPr>
              <w:t>Sinovel settlement (net of legal fees and expenses)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(52,740)</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16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effect of adjustments</w:t>
            </w:r>
          </w:p>
        </w:tc>
        <w:tc>
          <w:tcPr>
            <w:tcW w:w="6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960" w:type="dxa"/>
            <w:vAlign w:val="bottom"/>
            <w:gridSpan w:val="2"/>
          </w:tcPr>
          <w:p>
            <w:pPr>
              <w:ind w:left="1140"/>
              <w:spacing w:after="0"/>
              <w:rPr>
                <w:sz w:val="20"/>
                <w:szCs w:val="20"/>
                <w:color w:val="auto"/>
              </w:rPr>
            </w:pPr>
            <w:r>
              <w:rPr>
                <w:rFonts w:ascii="Arial" w:cs="Arial" w:eastAsia="Arial" w:hAnsi="Arial"/>
                <w:sz w:val="18"/>
                <w:szCs w:val="18"/>
                <w:color w:val="auto"/>
              </w:rPr>
              <w:t>Non-GAAP operating cash flow</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(7,649)</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Forecast GAAP Net Loss to Non-GAAP Net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-121920</wp:posOffset>
            </wp:positionV>
            <wp:extent cx="5796280" cy="136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6280" cy="13652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5080</wp:posOffset>
            </wp:positionV>
            <wp:extent cx="5796280" cy="161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6280" cy="16192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Amortization of acquisition-related intangibles</w:t>
      </w:r>
    </w:p>
    <w:p>
      <w:pPr>
        <w:spacing w:after="0" w:line="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Non-GAAP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13970</wp:posOffset>
            </wp:positionV>
            <wp:extent cx="5796280" cy="161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6280" cy="16192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Non-GAAP net loss per share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72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216"/>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right="1216"/>
        <w:spacing w:after="0"/>
        <w:rPr>
          <w:sz w:val="20"/>
          <w:szCs w:val="20"/>
          <w:color w:val="auto"/>
        </w:rPr>
      </w:pPr>
      <w:r>
        <w:rPr>
          <w:rFonts w:ascii="Arial" w:cs="Arial" w:eastAsia="Arial" w:hAnsi="Arial"/>
          <w:sz w:val="18"/>
          <w:szCs w:val="18"/>
          <w:b w:val="1"/>
          <w:bCs w:val="1"/>
          <w:color w:val="auto"/>
        </w:rPr>
        <w:t>ending</w:t>
      </w:r>
    </w:p>
    <w:p>
      <w:pPr>
        <w:spacing w:after="0" w:line="8" w:lineRule="exact"/>
        <w:rPr>
          <w:sz w:val="20"/>
          <w:szCs w:val="20"/>
          <w:color w:val="auto"/>
        </w:rPr>
      </w:pPr>
    </w:p>
    <w:p>
      <w:pPr>
        <w:jc w:val="center"/>
        <w:ind w:right="1216"/>
        <w:spacing w:after="0"/>
        <w:rPr>
          <w:sz w:val="20"/>
          <w:szCs w:val="20"/>
          <w:color w:val="auto"/>
        </w:rPr>
      </w:pPr>
      <w:r>
        <w:rPr>
          <w:rFonts w:ascii="Arial" w:cs="Arial" w:eastAsia="Arial" w:hAnsi="Arial"/>
          <w:sz w:val="18"/>
          <w:szCs w:val="18"/>
          <w:b w:val="1"/>
          <w:bCs w:val="1"/>
          <w:color w:val="auto"/>
        </w:rPr>
        <w:t>June 30, 2019</w:t>
      </w:r>
    </w:p>
    <w:p>
      <w:pPr>
        <w:spacing w:after="0" w:line="8" w:lineRule="exact"/>
        <w:rPr>
          <w:sz w:val="20"/>
          <w:szCs w:val="20"/>
          <w:color w:val="auto"/>
        </w:rPr>
      </w:pPr>
    </w:p>
    <w:p>
      <w:pPr>
        <w:ind w:left="1284" w:hanging="1284"/>
        <w:spacing w:after="0"/>
        <w:tabs>
          <w:tab w:leader="none" w:pos="1284" w:val="left"/>
        </w:tabs>
        <w:numPr>
          <w:ilvl w:val="0"/>
          <w:numId w:val="7"/>
        </w:numPr>
        <w:rPr>
          <w:rFonts w:ascii="Arial" w:cs="Arial" w:eastAsia="Arial" w:hAnsi="Arial"/>
          <w:sz w:val="16"/>
          <w:szCs w:val="16"/>
          <w:color w:val="auto"/>
        </w:rPr>
      </w:pPr>
      <w:r>
        <w:rPr>
          <w:rFonts w:ascii="Arial" w:cs="Arial" w:eastAsia="Arial" w:hAnsi="Arial"/>
          <w:sz w:val="16"/>
          <w:szCs w:val="16"/>
          <w:color w:val="auto"/>
        </w:rPr>
        <w:t>(9.0)</w:t>
      </w:r>
    </w:p>
    <w:p>
      <w:pPr>
        <w:spacing w:after="0" w:line="31" w:lineRule="exact"/>
        <w:rPr>
          <w:rFonts w:ascii="Arial" w:cs="Arial" w:eastAsia="Arial" w:hAnsi="Arial"/>
          <w:sz w:val="16"/>
          <w:szCs w:val="16"/>
          <w:color w:val="auto"/>
        </w:rPr>
      </w:pPr>
    </w:p>
    <w:p>
      <w:pPr>
        <w:ind w:left="1344"/>
        <w:spacing w:after="0"/>
        <w:rPr>
          <w:rFonts w:ascii="Arial" w:cs="Arial" w:eastAsia="Arial" w:hAnsi="Arial"/>
          <w:sz w:val="16"/>
          <w:szCs w:val="16"/>
          <w:color w:val="auto"/>
        </w:rPr>
      </w:pPr>
      <w:r>
        <w:rPr>
          <w:rFonts w:ascii="Arial" w:cs="Arial" w:eastAsia="Arial" w:hAnsi="Arial"/>
          <w:sz w:val="18"/>
          <w:szCs w:val="18"/>
          <w:color w:val="auto"/>
        </w:rPr>
        <w:t>1.4</w:t>
      </w:r>
    </w:p>
    <w:p>
      <w:pPr>
        <w:spacing w:after="0" w:line="8" w:lineRule="exact"/>
        <w:rPr>
          <w:rFonts w:ascii="Arial" w:cs="Arial" w:eastAsia="Arial" w:hAnsi="Arial"/>
          <w:sz w:val="16"/>
          <w:szCs w:val="16"/>
          <w:color w:val="auto"/>
        </w:rPr>
      </w:pPr>
    </w:p>
    <w:p>
      <w:pPr>
        <w:ind w:left="1344"/>
        <w:spacing w:after="0"/>
        <w:rPr>
          <w:rFonts w:ascii="Arial" w:cs="Arial" w:eastAsia="Arial" w:hAnsi="Arial"/>
          <w:sz w:val="16"/>
          <w:szCs w:val="16"/>
          <w:color w:val="auto"/>
        </w:rPr>
      </w:pPr>
      <w:r>
        <w:rPr>
          <w:rFonts w:ascii="Arial" w:cs="Arial" w:eastAsia="Arial" w:hAnsi="Arial"/>
          <w:sz w:val="18"/>
          <w:szCs w:val="18"/>
          <w:color w:val="auto"/>
        </w:rPr>
        <w:t>0.1</w:t>
      </w:r>
    </w:p>
    <w:p>
      <w:pPr>
        <w:spacing w:after="0" w:line="34" w:lineRule="exact"/>
        <w:rPr>
          <w:sz w:val="20"/>
          <w:szCs w:val="20"/>
          <w:color w:val="auto"/>
        </w:rPr>
      </w:pPr>
    </w:p>
    <w:p>
      <w:pPr>
        <w:ind w:left="1284" w:hanging="1284"/>
        <w:spacing w:after="0"/>
        <w:tabs>
          <w:tab w:leader="none" w:pos="1284" w:val="left"/>
        </w:tabs>
        <w:numPr>
          <w:ilvl w:val="0"/>
          <w:numId w:val="8"/>
        </w:numPr>
        <w:rPr>
          <w:rFonts w:ascii="Arial" w:cs="Arial" w:eastAsia="Arial" w:hAnsi="Arial"/>
          <w:sz w:val="16"/>
          <w:szCs w:val="16"/>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9899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51" w:lineRule="exact"/>
        <w:rPr>
          <w:sz w:val="20"/>
          <w:szCs w:val="20"/>
          <w:color w:val="auto"/>
        </w:rPr>
      </w:pPr>
    </w:p>
    <w:p>
      <w:pPr>
        <w:ind w:left="1184" w:hanging="1184"/>
        <w:spacing w:after="0"/>
        <w:tabs>
          <w:tab w:leader="none" w:pos="1184" w:val="left"/>
        </w:tabs>
        <w:numPr>
          <w:ilvl w:val="0"/>
          <w:numId w:val="9"/>
        </w:numPr>
        <w:rPr>
          <w:rFonts w:ascii="Arial" w:cs="Arial" w:eastAsia="Arial" w:hAnsi="Arial"/>
          <w:sz w:val="16"/>
          <w:szCs w:val="16"/>
          <w:color w:val="auto"/>
        </w:rPr>
      </w:pPr>
      <w:r>
        <w:rPr>
          <w:rFonts w:ascii="Arial" w:cs="Arial" w:eastAsia="Arial" w:hAnsi="Arial"/>
          <w:sz w:val="16"/>
          <w:szCs w:val="16"/>
          <w:color w:val="auto"/>
        </w:rPr>
        <w:t>(0.35)</w:t>
      </w:r>
    </w:p>
    <w:p>
      <w:pPr>
        <w:spacing w:after="0" w:line="71" w:lineRule="exact"/>
        <w:rPr>
          <w:rFonts w:ascii="Arial" w:cs="Arial" w:eastAsia="Arial" w:hAnsi="Arial"/>
          <w:sz w:val="16"/>
          <w:szCs w:val="16"/>
          <w:color w:val="auto"/>
        </w:rPr>
      </w:pPr>
    </w:p>
    <w:p>
      <w:pPr>
        <w:ind w:left="1244"/>
        <w:spacing w:after="0"/>
        <w:rPr>
          <w:rFonts w:ascii="Arial" w:cs="Arial" w:eastAsia="Arial" w:hAnsi="Arial"/>
          <w:sz w:val="16"/>
          <w:szCs w:val="16"/>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-292100</wp:posOffset>
            </wp:positionV>
            <wp:extent cx="9899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ectPr>
          <w:pgSz w:w="11900" w:h="16838" w:orient="portrait"/>
          <w:cols w:equalWidth="0" w:num="2">
            <w:col w:w="7916" w:space="720"/>
            <w:col w:w="2784"/>
          </w:cols>
          <w:pgMar w:left="240" w:top="118" w:right="239" w:bottom="1440" w:gutter="0" w:footer="0" w:header="0"/>
          <w:type w:val="continuous"/>
        </w:sectPr>
      </w:pPr>
    </w:p>
    <w:bookmarkStart w:id="11" w:name="page12"/>
    <w:bookmarkEnd w:id="11"/>
    <w:p>
      <w:pPr>
        <w:ind w:left="160"/>
        <w:spacing w:after="0"/>
        <w:rPr>
          <w:sz w:val="20"/>
          <w:szCs w:val="20"/>
          <w:color w:val="auto"/>
        </w:rPr>
      </w:pPr>
      <w:r>
        <w:rPr>
          <w:rFonts w:ascii="Arial" w:cs="Arial" w:eastAsia="Arial" w:hAnsi="Arial"/>
          <w:sz w:val="22"/>
          <w:szCs w:val="22"/>
          <w:color w:val="auto"/>
        </w:rPr>
        <w:t>AMSC Reports Q4FY18 Results</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Page 8</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Note: Non-GAAP net loss is defined by the Company as net income (loss) before; gain on sale of minority investments; gain on Sinovel settlement, net; stock-based compensation; amortization of acquisition-related intangibles; consumption of zero cost-basis inventory; changes in fair value of warrants and contingent consideration; non-cash interest expense; other unusual charges or items, and the tax effect of adjustments. The Company believes non-GAAP net loss assists management and investors in comparing the Company’s performance across reporting periods on a consistent basis by excluding these non-cash, non-recurring or other charges that it does not believe are indicative of its core operating performance. The Company is not able to provide the change in fair value of warrants on a forward-looking basis without unreasonable efforts because the calculation for that change is primarily driven by the closing price and volatility of the Company's stock at the end of each fiscal quarter, which cannot be reasonably estimated at this time, and therefore the Company's non-GAAP net loss guidance does not include the impact from any change in fair value of warrants. The Company does not expect a further gain on sale of minority investments or gain on Sinovel Settlement, net, and therefore the Company's non-GAAP net loss guidance does not include the impact from these adjustments. Actual non-GAAP net loss for the fiscal quarter ending June 30, 2019, including the above adjustments, may differ materially from those forecasted in the table above.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Non-GAAP operating cash flow is defined by the Company as operating cash flow before: Sinovel settlement (net of legal fees and expenses); tax effect of adjustments; and other unusual cash flows or items. The Company believes non-GAAP operating cash flow assists management and investors in comparing the Company’s operating cash flow across reporting periods on a consistent basis by excluding these non-recurring cash items that it does not believe are indicative of its core operating cash flow. Actual non-GAAP operating cash flow for the fiscal quarter ending June 30, 2019, including the above adjustments, may differ materially from that forecasted in the table above.</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i w:val="1"/>
          <w:iCs w:val="1"/>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release, however, should be considered in addition to, and not as a substitute for or superior to, operating income, cash flows, or other measures of financial performance prepared in accordance with GAAP. A reconciliation of GAAP to non-GAAP net loss is set forth in the table above.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AMSC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Relations Contact: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LHA 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Sanjay M. Hurry</w:t>
      </w:r>
    </w:p>
    <w:p>
      <w:pPr>
        <w:spacing w:after="0" w:line="8" w:lineRule="exact"/>
        <w:rPr>
          <w:sz w:val="20"/>
          <w:szCs w:val="20"/>
          <w:color w:val="auto"/>
        </w:rPr>
      </w:pPr>
    </w:p>
    <w:p>
      <w:pPr>
        <w:ind w:right="10080" w:firstLine="8"/>
        <w:spacing w:after="0" w:line="321" w:lineRule="auto"/>
        <w:tabs>
          <w:tab w:leader="none" w:pos="433"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838-3777 </w:t>
      </w:r>
      <w:r>
        <w:rPr>
          <w:rFonts w:ascii="Arial" w:cs="Arial" w:eastAsia="Arial" w:hAnsi="Arial"/>
          <w:sz w:val="16"/>
          <w:szCs w:val="16"/>
          <w:u w:val="single" w:color="auto"/>
          <w:color w:val="auto"/>
        </w:rPr>
        <w:t>amscIR@lhai.com</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Relations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RooneyPartners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Bob Cavosi</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646-638-9891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rcavosi@rooneyco.com</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AMSC Communications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Nicol Golez</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Phone: 978-399-8344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Email: Nicol.Golez@amsc.com</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5"/>
    </w:lvl>
  </w:abstractNum>
  <w:abstractNum w:abstractNumId="2">
    <w:nsid w:val="2EB141F2"/>
    <w:multiLevelType w:val="hybridMultilevel"/>
    <w:lvl w:ilvl="0">
      <w:lvlJc w:val="left"/>
      <w:lvlText w:val="(%1)"/>
      <w:numFmt w:val="lowerLetter"/>
      <w:start w:val="5"/>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2019-12-28T11:19:27Z</dcterms:created>
  <dcterms:modified xsi:type="dcterms:W3CDTF">2019-12-28T11:19:27Z</dcterms:modified>
</cp:coreProperties>
</file>