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 2026</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Superconductor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000-19672</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04-2959321</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3"/>
          </w:tcPr>
          <w:p>
            <w:pPr>
              <w:jc w:val="center"/>
              <w:ind w:right="8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7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114 East Main Street</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Ayer, Massachusetts</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01432</w:t>
            </w:r>
          </w:p>
        </w:tc>
      </w:tr>
      <w:tr>
        <w:trPr>
          <w:trHeight w:val="232"/>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telephone number, including area code </w:t>
      </w:r>
      <w:r>
        <w:rPr>
          <w:rFonts w:ascii="Times New Roman" w:cs="Times New Roman" w:eastAsia="Times New Roman" w:hAnsi="Times New Roman"/>
          <w:sz w:val="18"/>
          <w:szCs w:val="18"/>
          <w:b w:val="1"/>
          <w:bCs w:val="1"/>
          <w:u w:val="single" w:color="auto"/>
          <w:color w:val="auto"/>
        </w:rPr>
        <w:t>(978)842-3000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AMSC</w:t>
            </w:r>
          </w:p>
        </w:tc>
        <w:tc>
          <w:tcPr>
            <w:tcW w:w="22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 Fiscal 2026 Executive Incentive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1, 2026, 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Superconductor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Board approved an executive incentive plan for the Company’s fiscal year ending March 31, 2027 (“</w:t>
      </w:r>
      <w:r>
        <w:rPr>
          <w:rFonts w:ascii="Times New Roman" w:cs="Times New Roman" w:eastAsia="Times New Roman" w:hAnsi="Times New Roman"/>
          <w:sz w:val="18"/>
          <w:szCs w:val="18"/>
          <w:u w:val="single" w:color="auto"/>
          <w:color w:val="auto"/>
        </w:rPr>
        <w:t>fiscal 2026</w:t>
      </w:r>
      <w:r>
        <w:rPr>
          <w:rFonts w:ascii="Times New Roman" w:cs="Times New Roman" w:eastAsia="Times New Roman" w:hAnsi="Times New Roman"/>
          <w:sz w:val="18"/>
          <w:szCs w:val="18"/>
          <w:color w:val="auto"/>
        </w:rPr>
        <w:t>”). Participants in the plan include the Company’s chief executive officer and all other current executive officers. Pursuant to the plan, each participant is designated a target cash incentive amount, expressed as a percentage of the participant’s annual base salary. The Committee is responsible for determining the payout under the plan to each participant except the chief executive officer. The Board determines the payout under the plan for the chief executive officer, taking into account the recommendation of the Committee.</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amount of the incentive award actually paid to each participant may be less than or greater than the participant’s target cash incentive, with the amount capped at 200% of the target incentive. For each participant, individual incentive awards will be determined following the end of fiscal 2026 based on the following factors and their corresponding weightings:</w:t>
      </w:r>
    </w:p>
    <w:p>
      <w:pPr>
        <w:spacing w:after="0" w:line="176" w:lineRule="exact"/>
        <w:rPr>
          <w:sz w:val="20"/>
          <w:szCs w:val="20"/>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non-GAAP net income for fiscal 2026 as compared to the established target – 50%</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revenues for fiscal 2026 as compared to the established target – 25%</w:t>
      </w:r>
    </w:p>
    <w:p>
      <w:pPr>
        <w:spacing w:after="0" w:line="252" w:lineRule="exact"/>
        <w:rPr>
          <w:rFonts w:ascii="Times New Roman" w:cs="Times New Roman" w:eastAsia="Times New Roman" w:hAnsi="Times New Roman"/>
          <w:sz w:val="18"/>
          <w:szCs w:val="18"/>
          <w:color w:val="auto"/>
        </w:rPr>
      </w:pPr>
    </w:p>
    <w:p>
      <w:pPr>
        <w:ind w:right="3460" w:firstLine="494"/>
        <w:spacing w:after="0" w:line="544" w:lineRule="auto"/>
        <w:tabs>
          <w:tab w:leader="none" w:pos="97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operating expenses for fiscal 2026 as compared to the established target – 25% The following table sets forth the target cash incentive for fiscal 2026 for each current executive officer: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Target Incentive</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 of</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00" w:type="dxa"/>
            <w:vAlign w:val="bottom"/>
          </w:tcPr>
          <w:p>
            <w:pPr>
              <w:spacing w:after="0"/>
              <w:rPr>
                <w:sz w:val="20"/>
                <w:szCs w:val="20"/>
                <w:color w:val="auto"/>
              </w:rPr>
            </w:pPr>
          </w:p>
        </w:tc>
        <w:tc>
          <w:tcPr>
            <w:tcW w:w="52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Target Incentive</w:t>
            </w:r>
          </w:p>
        </w:tc>
        <w:tc>
          <w:tcPr>
            <w:tcW w:w="100" w:type="dxa"/>
            <w:vAlign w:val="bottom"/>
          </w:tcPr>
          <w:p>
            <w:pPr>
              <w:spacing w:after="0"/>
              <w:rPr>
                <w:sz w:val="20"/>
                <w:szCs w:val="20"/>
                <w:color w:val="auto"/>
              </w:rPr>
            </w:pPr>
          </w:p>
        </w:tc>
      </w:tr>
      <w:tr>
        <w:trPr>
          <w:trHeight w:val="20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754,000</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John W. Kosiba, Jr.</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c>
          <w:tcPr>
            <w:tcW w:w="2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 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0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9" w:lineRule="exact"/>
        <w:rPr>
          <w:sz w:val="20"/>
          <w:szCs w:val="20"/>
          <w:color w:val="auto"/>
        </w:rPr>
      </w:pPr>
    </w:p>
    <w:p>
      <w:pPr>
        <w:ind w:left="380"/>
        <w:spacing w:after="0"/>
        <w:tabs>
          <w:tab w:leader="none" w:pos="10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Fiscal 2026 Executive Incentive Plan.</w:t>
      </w:r>
    </w:p>
    <w:p>
      <w:pPr>
        <w:spacing w:after="0" w:line="9" w:lineRule="exact"/>
        <w:rPr>
          <w:sz w:val="20"/>
          <w:szCs w:val="20"/>
          <w:color w:val="auto"/>
        </w:rPr>
      </w:pPr>
    </w:p>
    <w:p>
      <w:pPr>
        <w:ind w:left="400"/>
        <w:spacing w:after="0"/>
        <w:tabs>
          <w:tab w:leader="none" w:pos="1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25" w:lineRule="exact"/>
        <w:rPr>
          <w:sz w:val="20"/>
          <w:szCs w:val="20"/>
          <w:color w:val="auto"/>
        </w:rPr>
      </w:pPr>
    </w:p>
    <w:p>
      <w:pPr>
        <w:spacing w:after="0"/>
        <w:tabs>
          <w:tab w:leader="none" w:pos="560" w:val="left"/>
          <w:tab w:leader="none" w:pos="5620" w:val="left"/>
          <w:tab w:leader="none" w:pos="7580" w:val="left"/>
        </w:tabs>
        <w:rPr>
          <w:sz w:val="20"/>
          <w:szCs w:val="20"/>
          <w:color w:val="auto"/>
        </w:rPr>
      </w:pPr>
      <w:r>
        <w:rPr>
          <w:rFonts w:ascii="Times New Roman" w:cs="Times New Roman" w:eastAsia="Times New Roman" w:hAnsi="Times New Roman"/>
          <w:sz w:val="18"/>
          <w:szCs w:val="18"/>
          <w:color w:val="auto"/>
        </w:rPr>
        <w:t>Date:</w:t>
        <w:tab/>
        <w:t>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John W. Kosiba, Jr.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ectPr>
          <w:pgSz w:w="11900" w:h="16838" w:orient="portrait"/>
          <w:cols w:equalWidth="0" w:num="1">
            <w:col w:w="10820"/>
          </w:cols>
          <w:pgMar w:left="320" w:top="576" w:right="759" w:bottom="1440" w:gutter="0" w:footer="0" w:header="0"/>
        </w:sectPr>
      </w:pPr>
    </w:p>
    <w:bookmarkStart w:id="3" w:name="page4"/>
    <w:bookmarkEnd w:id="3"/>
    <w:p>
      <w:pPr>
        <w:ind w:left="10340"/>
        <w:spacing w:after="0"/>
        <w:rPr>
          <w:sz w:val="20"/>
          <w:szCs w:val="20"/>
          <w:color w:val="auto"/>
        </w:rPr>
      </w:pPr>
      <w:r>
        <w:rPr>
          <w:rFonts w:ascii="Times New Roman" w:cs="Times New Roman" w:eastAsia="Times New Roman" w:hAnsi="Times New Roman"/>
          <w:sz w:val="17"/>
          <w:szCs w:val="17"/>
          <w:b w:val="1"/>
          <w:bCs w:val="1"/>
          <w:i w:val="1"/>
          <w:iCs w:val="1"/>
          <w:color w:val="auto"/>
        </w:rPr>
        <w:t>Exhibit 10.1</w:t>
      </w:r>
    </w:p>
    <w:p>
      <w:pPr>
        <w:spacing w:after="0" w:line="2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Fiscal 2026 Executive Incentive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1, 2026, 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American Superconductor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Board approved an executive incentive plan for the Company’s fiscal year ending March 31, 2027 (“</w:t>
      </w:r>
      <w:r>
        <w:rPr>
          <w:rFonts w:ascii="Times New Roman" w:cs="Times New Roman" w:eastAsia="Times New Roman" w:hAnsi="Times New Roman"/>
          <w:sz w:val="18"/>
          <w:szCs w:val="18"/>
          <w:u w:val="single" w:color="auto"/>
          <w:color w:val="auto"/>
        </w:rPr>
        <w:t>fiscal 2026</w:t>
      </w:r>
      <w:r>
        <w:rPr>
          <w:rFonts w:ascii="Times New Roman" w:cs="Times New Roman" w:eastAsia="Times New Roman" w:hAnsi="Times New Roman"/>
          <w:sz w:val="18"/>
          <w:szCs w:val="18"/>
          <w:color w:val="auto"/>
        </w:rPr>
        <w:t>”). Participants in the plan include the Company’s chief executive officer and all other current executive officers. Pursuant to the plan, each participant is designated a target cash incentive amount, expressed as a percentage of the participant’s annual base salary. The Committee is responsible for determining the payout under the plan to each participant except the chief executive officer. The Board determines the payout under the plan for the chief executive officer, taking into account the recommendation of the Committee.</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amount of the incentive award actually paid to each participant may be less than or greater than the participant’s target cash incentive, with the amount capped at 200% of the target incentive. For each participant, individual incentive awards will be determined following the end of fiscal 2026 based on the following factors and their corresponding weightings:</w:t>
      </w:r>
    </w:p>
    <w:p>
      <w:pPr>
        <w:spacing w:after="0" w:line="176"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non-GAAP net income for fiscal 2026 as compared to the established target – 50%</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revenues for fiscal 2026 as compared to the established target – 25%</w:t>
      </w:r>
    </w:p>
    <w:p>
      <w:pPr>
        <w:spacing w:after="0" w:line="252" w:lineRule="exact"/>
        <w:rPr>
          <w:rFonts w:ascii="Times New Roman" w:cs="Times New Roman" w:eastAsia="Times New Roman" w:hAnsi="Times New Roman"/>
          <w:sz w:val="18"/>
          <w:szCs w:val="18"/>
          <w:color w:val="auto"/>
        </w:rPr>
      </w:pPr>
    </w:p>
    <w:p>
      <w:pPr>
        <w:ind w:right="3460" w:firstLine="494"/>
        <w:spacing w:after="0" w:line="544" w:lineRule="auto"/>
        <w:tabs>
          <w:tab w:leader="none" w:pos="97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operating expenses for fiscal 2026 as compared to the established target – 25% The following table sets forth the target cash incentive for fiscal 2026 for each current executive officer: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Target Incentive</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 of</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00" w:type="dxa"/>
            <w:vAlign w:val="bottom"/>
          </w:tcPr>
          <w:p>
            <w:pPr>
              <w:spacing w:after="0"/>
              <w:rPr>
                <w:sz w:val="20"/>
                <w:szCs w:val="20"/>
                <w:color w:val="auto"/>
              </w:rPr>
            </w:pPr>
          </w:p>
        </w:tc>
        <w:tc>
          <w:tcPr>
            <w:tcW w:w="52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Target Incentive</w:t>
            </w:r>
          </w:p>
        </w:tc>
        <w:tc>
          <w:tcPr>
            <w:tcW w:w="100" w:type="dxa"/>
            <w:vAlign w:val="bottom"/>
          </w:tcPr>
          <w:p>
            <w:pPr>
              <w:spacing w:after="0"/>
              <w:rPr>
                <w:sz w:val="20"/>
                <w:szCs w:val="20"/>
                <w:color w:val="auto"/>
              </w:rPr>
            </w:pPr>
          </w:p>
        </w:tc>
      </w:tr>
      <w:tr>
        <w:trPr>
          <w:trHeight w:val="20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754,000</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John W. Kosiba, Jr.</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c>
          <w:tcPr>
            <w:tcW w:w="2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351,000</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2026-06-02T15:11:44Z</dcterms:created>
  <dcterms:modified xsi:type="dcterms:W3CDTF">2026-06-02T15:11:44Z</dcterms:modified>
</cp:coreProperties>
</file>