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3"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2015</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92"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740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8"/>
                <w:szCs w:val="18"/>
                <w:color w:val="auto"/>
              </w:rPr>
            </w:pPr>
          </w:p>
        </w:tc>
        <w:tc>
          <w:tcPr>
            <w:tcW w:w="1320" w:type="dxa"/>
            <w:vAlign w:val="bottom"/>
            <w:gridSpan w:val="2"/>
          </w:tcPr>
          <w:p>
            <w:pPr>
              <w:jc w:val="right"/>
              <w:ind w:right="299"/>
              <w:spacing w:after="0"/>
              <w:rPr>
                <w:sz w:val="20"/>
                <w:szCs w:val="20"/>
                <w:color w:val="auto"/>
              </w:rPr>
            </w:pPr>
            <w:r>
              <w:rPr>
                <w:rFonts w:ascii="Arial" w:cs="Arial" w:eastAsia="Arial" w:hAnsi="Arial"/>
                <w:sz w:val="18"/>
                <w:szCs w:val="18"/>
                <w:b w:val="1"/>
                <w:bCs w:val="1"/>
                <w:color w:val="auto"/>
                <w:w w:val="95"/>
              </w:rPr>
              <w:t>04-2959321</w:t>
            </w:r>
          </w:p>
        </w:tc>
        <w:tc>
          <w:tcPr>
            <w:tcW w:w="0" w:type="dxa"/>
            <w:vAlign w:val="bottom"/>
          </w:tcPr>
          <w:p>
            <w:pPr>
              <w:spacing w:after="0"/>
              <w:rPr>
                <w:sz w:val="1"/>
                <w:szCs w:val="1"/>
                <w:color w:val="auto"/>
              </w:rPr>
            </w:pPr>
          </w:p>
        </w:tc>
      </w:tr>
      <w:tr>
        <w:trPr>
          <w:trHeight w:val="149"/>
        </w:trPr>
        <w:tc>
          <w:tcPr>
            <w:tcW w:w="7400" w:type="dxa"/>
            <w:vAlign w:val="bottom"/>
            <w:gridSpan w:val="3"/>
          </w:tcPr>
          <w:p>
            <w:pPr>
              <w:jc w:val="center"/>
              <w:ind w:right="270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0" w:type="dxa"/>
            <w:vAlign w:val="bottom"/>
          </w:tcPr>
          <w:p>
            <w:pPr>
              <w:spacing w:after="0"/>
              <w:rPr>
                <w:sz w:val="12"/>
                <w:szCs w:val="12"/>
                <w:color w:val="auto"/>
              </w:rPr>
            </w:pPr>
          </w:p>
        </w:tc>
        <w:tc>
          <w:tcPr>
            <w:tcW w:w="132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740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4"/>
              </w:rPr>
              <w:t>of Incorporation or Organization)</w:t>
            </w:r>
          </w:p>
        </w:tc>
        <w:tc>
          <w:tcPr>
            <w:tcW w:w="152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64"/>
        </w:trPr>
        <w:tc>
          <w:tcPr>
            <w:tcW w:w="740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w w:val="88"/>
              </w:rPr>
              <w:t>64 Jackson Road</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40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86"/>
              </w:rPr>
              <w:t>Devens, Massachusetts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01434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40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0" w:type="dxa"/>
            <w:vAlign w:val="bottom"/>
          </w:tcPr>
          <w:p>
            <w:pPr>
              <w:spacing w:after="0"/>
              <w:rPr>
                <w:sz w:val="16"/>
                <w:szCs w:val="16"/>
                <w:color w:val="auto"/>
              </w:rPr>
            </w:pPr>
          </w:p>
        </w:tc>
        <w:tc>
          <w:tcPr>
            <w:tcW w:w="132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6"/>
        </w:trPr>
        <w:tc>
          <w:tcPr>
            <w:tcW w:w="7400" w:type="dxa"/>
            <w:vAlign w:val="bottom"/>
            <w:gridSpan w:val="3"/>
          </w:tcPr>
          <w:p>
            <w:pPr>
              <w:jc w:val="center"/>
              <w:ind w:left="2918"/>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6340" w:type="dxa"/>
            <w:vAlign w:val="bottom"/>
            <w:gridSpan w:val="2"/>
          </w:tcPr>
          <w:p>
            <w:pPr>
              <w:jc w:val="center"/>
              <w:ind w:left="3958"/>
              <w:spacing w:after="0"/>
              <w:rPr>
                <w:sz w:val="20"/>
                <w:szCs w:val="20"/>
                <w:color w:val="auto"/>
              </w:rPr>
            </w:pPr>
            <w:r>
              <w:rPr>
                <w:rFonts w:ascii="Arial" w:cs="Arial" w:eastAsia="Arial" w:hAnsi="Arial"/>
                <w:sz w:val="14"/>
                <w:szCs w:val="14"/>
                <w:b w:val="1"/>
                <w:bCs w:val="1"/>
                <w:color w:val="auto"/>
                <w:w w:val="93"/>
              </w:rPr>
              <w:t>(978) 842-3000</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600" w:type="dxa"/>
            <w:vAlign w:val="bottom"/>
            <w:gridSpan w:val="4"/>
          </w:tcPr>
          <w:p>
            <w:pPr>
              <w:jc w:val="center"/>
              <w:ind w:left="271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400" w:type="dxa"/>
            <w:vAlign w:val="bottom"/>
            <w:gridSpan w:val="3"/>
          </w:tcPr>
          <w:p>
            <w:pPr>
              <w:jc w:val="center"/>
              <w:ind w:left="2898"/>
              <w:spacing w:after="0"/>
              <w:rPr>
                <w:sz w:val="20"/>
                <w:szCs w:val="20"/>
                <w:color w:val="auto"/>
              </w:rPr>
            </w:pPr>
            <w:r>
              <w:rPr>
                <w:rFonts w:ascii="Arial" w:cs="Arial" w:eastAsia="Arial" w:hAnsi="Arial"/>
                <w:sz w:val="14"/>
                <w:szCs w:val="14"/>
                <w:b w:val="1"/>
                <w:bCs w:val="1"/>
                <w:color w:val="auto"/>
                <w:w w:val="94"/>
              </w:rPr>
              <w:t>Common Stock, $0.01 par value, NASDAQ Global Select Market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400" w:type="dxa"/>
            <w:vAlign w:val="bottom"/>
            <w:gridSpan w:val="3"/>
          </w:tcPr>
          <w:p>
            <w:pPr>
              <w:jc w:val="center"/>
              <w:ind w:left="291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6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gridSpan w:val="2"/>
          </w:tcPr>
          <w:p>
            <w:pPr>
              <w:spacing w:after="0"/>
              <w:rPr>
                <w:sz w:val="8"/>
                <w:szCs w:val="8"/>
                <w:color w:val="auto"/>
              </w:rPr>
            </w:pPr>
          </w:p>
        </w:tc>
        <w:tc>
          <w:tcPr>
            <w:tcW w:w="740" w:type="dxa"/>
            <w:vAlign w:val="bottom"/>
            <w:vMerge w:val="restart"/>
          </w:tcPr>
          <w:p>
            <w:pPr>
              <w:ind w:left="1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58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600" w:type="dxa"/>
            <w:vAlign w:val="bottom"/>
            <w:gridSpan w:val="4"/>
          </w:tcPr>
          <w:p>
            <w:pPr>
              <w:spacing w:after="0"/>
              <w:rPr>
                <w:sz w:val="20"/>
                <w:szCs w:val="20"/>
                <w:color w:val="auto"/>
              </w:rPr>
            </w:pPr>
            <w:r>
              <w:rPr>
                <w:rFonts w:ascii="Arial" w:cs="Arial" w:eastAsia="Arial" w:hAnsi="Arial"/>
                <w:sz w:val="16"/>
                <w:szCs w:val="16"/>
                <w:color w:val="auto"/>
                <w:w w:val="92"/>
              </w:rPr>
              <w:t>Indicate by checkmark if the registrant is a well-known seasoned issuer, as defined in Rule 405 of the Securities Act.</w:t>
            </w:r>
          </w:p>
        </w:tc>
        <w:tc>
          <w:tcPr>
            <w:tcW w:w="740" w:type="dxa"/>
            <w:vAlign w:val="bottom"/>
            <w:vMerge w:val="continue"/>
          </w:tcPr>
          <w:p>
            <w:pPr>
              <w:spacing w:after="0"/>
              <w:rPr>
                <w:sz w:val="23"/>
                <w:szCs w:val="23"/>
                <w:color w:val="auto"/>
              </w:rPr>
            </w:pP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34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580" w:type="dxa"/>
            <w:vAlign w:val="bottom"/>
          </w:tcPr>
          <w:p>
            <w:pPr>
              <w:ind w:left="160"/>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6"/>
                <w:szCs w:val="16"/>
                <w:color w:val="auto"/>
                <w:w w:val="97"/>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firstLine="518"/>
        <w:spacing w:after="0" w:line="284" w:lineRule="auto"/>
        <w:rPr>
          <w:sz w:val="20"/>
          <w:szCs w:val="20"/>
          <w:color w:val="auto"/>
        </w:rPr>
      </w:pPr>
      <w:r>
        <w:rPr>
          <w:rFonts w:ascii="Arial" w:cs="Arial" w:eastAsia="Arial" w:hAnsi="Arial"/>
          <w:sz w:val="15"/>
          <w:szCs w:val="15"/>
          <w:color w:val="auto"/>
        </w:rPr>
        <w:t>Indicate by check mark if disclosure of delinquent filers pursuant to Item 405 of Regulation S-K (§ 232.405)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ind w:right="20" w:firstLine="518"/>
        <w:spacing w:after="0" w:line="293" w:lineRule="auto"/>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11" w:right="239" w:bottom="1440" w:gutter="0" w:footer="0" w:header="0"/>
        </w:sectPr>
      </w:pP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4">
            <w:col w:w="2060" w:space="720"/>
            <w:col w:w="4780" w:space="720"/>
            <w:col w:w="2040" w:space="720"/>
            <w:col w:w="380"/>
          </w:cols>
          <w:pgMar w:left="240" w:top="211" w:right="239" w:bottom="1440" w:gutter="0" w:footer="0" w:header="0"/>
          <w:type w:val="continuous"/>
        </w:sect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79" w:lineRule="exact"/>
        <w:rPr>
          <w:sz w:val="24"/>
          <w:szCs w:val="24"/>
          <w:color w:val="auto"/>
        </w:rPr>
      </w:pPr>
    </w:p>
    <w:p>
      <w:pPr>
        <w:sectPr>
          <w:pgSz w:w="11900" w:h="16838" w:orient="portrait"/>
          <w:cols w:equalWidth="0" w:num="5">
            <w:col w:w="2060" w:space="720"/>
            <w:col w:w="80" w:space="300"/>
            <w:col w:w="4400" w:space="720"/>
            <w:col w:w="2040" w:space="720"/>
            <w:col w:w="380"/>
          </w:cols>
          <w:pgMar w:left="240" w:top="211" w:right="239" w:bottom="1440" w:gutter="0" w:footer="0" w:header="0"/>
          <w:type w:val="continuous"/>
        </w:sectPr>
      </w:pPr>
    </w:p>
    <w:p>
      <w:pPr>
        <w:spacing w:after="0" w:line="3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Indicate by checkmark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7160" w:space="160"/>
            <w:col w:w="240" w:space="80"/>
            <w:col w:w="140" w:space="180"/>
            <w:col w:w="180" w:space="100"/>
            <w:col w:w="3180"/>
          </w:cols>
          <w:pgMar w:left="240" w:top="211" w:right="239" w:bottom="1440" w:gutter="0" w:footer="0" w:header="0"/>
          <w:type w:val="continuous"/>
        </w:sectPr>
      </w:pPr>
    </w:p>
    <w:p>
      <w:pPr>
        <w:ind w:firstLine="518"/>
        <w:spacing w:after="0" w:line="293"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on September 30, 2014, based on the closing price of the shares of Common Stock on the Nasdaq Global Select Market on that date ($14.10 per share) was $99.0 million.</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Number of shares outstanding of the registrant’s Common Stock, as of May 22, 2015 was 13,863,254.</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Portions of the definitive proxy statement for the annual meeting of stockholders scheduled to be held on July 31, 2015, to be filed with the Securities and Exchange Commission (the “SEC”), are incorporated by reference in answer 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32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rPr>
              <w:t>AMERICAN SUPERCONDUCTOR CORPORATION</w:t>
            </w:r>
          </w:p>
        </w:tc>
        <w:tc>
          <w:tcPr>
            <w:tcW w:w="66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280"/>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4"/>
                <w:szCs w:val="24"/>
                <w:color w:val="auto"/>
              </w:rPr>
            </w:pPr>
          </w:p>
        </w:tc>
      </w:tr>
      <w:tr>
        <w:trPr>
          <w:trHeight w:val="459"/>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33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Pr>
          <w:p>
            <w:pPr>
              <w:spacing w:after="0"/>
              <w:rPr>
                <w:sz w:val="24"/>
                <w:szCs w:val="24"/>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12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9260" w:type="dxa"/>
            <w:vAlign w:val="bottom"/>
            <w:gridSpan w:val="1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1B.</w:t>
            </w:r>
          </w:p>
        </w:tc>
        <w:tc>
          <w:tcPr>
            <w:tcW w:w="12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Unresolved Staff Comments</w:t>
              </w:r>
            </w:hyperlink>
          </w:p>
        </w:tc>
        <w:tc>
          <w:tcPr>
            <w:tcW w:w="812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944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5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660" w:type="dxa"/>
            <w:vAlign w:val="bottom"/>
          </w:tcPr>
          <w:p>
            <w:pPr>
              <w:spacing w:after="0"/>
              <w:rPr>
                <w:sz w:val="24"/>
                <w:szCs w:val="24"/>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7A.</w:t>
            </w:r>
          </w:p>
        </w:tc>
        <w:tc>
          <w:tcPr>
            <w:tcW w:w="120" w:type="dxa"/>
            <w:vAlign w:val="bottom"/>
          </w:tcPr>
          <w:p>
            <w:pPr>
              <w:spacing w:after="0"/>
              <w:rPr>
                <w:sz w:val="24"/>
                <w:szCs w:val="24"/>
                <w:color w:val="auto"/>
              </w:rPr>
            </w:pP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72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8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Changes in and Disagreements With Accountants on Accounting and Financial Disclosure</w:t>
              </w:r>
            </w:hyperlink>
          </w:p>
        </w:tc>
        <w:tc>
          <w:tcPr>
            <w:tcW w:w="36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9A.</w:t>
            </w:r>
          </w:p>
        </w:tc>
        <w:tc>
          <w:tcPr>
            <w:tcW w:w="12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Controls and Procedures</w:t>
              </w:r>
            </w:hyperlink>
          </w:p>
        </w:tc>
        <w:tc>
          <w:tcPr>
            <w:tcW w:w="84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9B.</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5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III</w:t>
            </w:r>
          </w:p>
        </w:tc>
        <w:tc>
          <w:tcPr>
            <w:tcW w:w="660" w:type="dxa"/>
            <w:vAlign w:val="bottom"/>
          </w:tcPr>
          <w:p>
            <w:pPr>
              <w:spacing w:after="0"/>
              <w:rPr>
                <w:sz w:val="24"/>
                <w:szCs w:val="24"/>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60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54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Certain Relationships and Related Transactions and Director Independence</w:t>
              </w:r>
            </w:hyperlink>
          </w:p>
        </w:tc>
        <w:tc>
          <w:tcPr>
            <w:tcW w:w="1880" w:type="dxa"/>
            <w:vAlign w:val="bottom"/>
            <w:tcBorders>
              <w:top w:val="single" w:sz="8" w:color="0000EE"/>
            </w:tcBorders>
            <w:gridSpan w:val="3"/>
          </w:tcPr>
          <w:p>
            <w:pPr>
              <w:spacing w:after="0"/>
              <w:rPr>
                <w:sz w:val="24"/>
                <w:szCs w:val="24"/>
                <w:color w:val="auto"/>
              </w:rPr>
            </w:pPr>
          </w:p>
        </w:tc>
        <w:tc>
          <w:tcPr>
            <w:tcW w:w="288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18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Accountant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660" w:type="dxa"/>
            <w:vAlign w:val="bottom"/>
          </w:tcPr>
          <w:p>
            <w:pPr>
              <w:spacing w:after="0"/>
              <w:rPr>
                <w:sz w:val="19"/>
                <w:szCs w:val="19"/>
                <w:color w:val="auto"/>
              </w:rPr>
            </w:pPr>
          </w:p>
        </w:tc>
      </w:tr>
      <w:tr>
        <w:trPr>
          <w:trHeight w:val="190"/>
        </w:trPr>
        <w:tc>
          <w:tcPr>
            <w:tcW w:w="460" w:type="dxa"/>
            <w:vAlign w:val="bottom"/>
          </w:tcPr>
          <w:p>
            <w:pPr>
              <w:spacing w:after="0" w:line="190"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6"/>
                <w:szCs w:val="16"/>
                <w:color w:val="auto"/>
              </w:rPr>
            </w:pPr>
          </w:p>
        </w:tc>
        <w:tc>
          <w:tcPr>
            <w:tcW w:w="10180" w:type="dxa"/>
            <w:vAlign w:val="bottom"/>
            <w:gridSpan w:val="19"/>
          </w:tcPr>
          <w:p>
            <w:pPr>
              <w:spacing w:after="0" w:line="190" w:lineRule="exact"/>
              <w:rPr>
                <w:rFonts w:ascii="Arial" w:cs="Arial" w:eastAsia="Arial" w:hAnsi="Arial"/>
                <w:sz w:val="18"/>
                <w:szCs w:val="18"/>
                <w:color w:val="0000EE"/>
              </w:rPr>
            </w:pPr>
            <w:hyperlink w:anchor="page98">
              <w:r>
                <w:rPr>
                  <w:rFonts w:ascii="Arial" w:cs="Arial" w:eastAsia="Arial" w:hAnsi="Arial"/>
                  <w:sz w:val="18"/>
                  <w:szCs w:val="18"/>
                  <w:color w:val="0000EE"/>
                </w:rPr>
                <w:t>Exhibits and Financial Statement Schedules</w:t>
              </w:r>
            </w:hyperlink>
            <w:r>
              <w:rPr>
                <w:rFonts w:ascii="Arial" w:cs="Arial" w:eastAsia="Arial" w:hAnsi="Arial"/>
                <w:sz w:val="18"/>
                <w:szCs w:val="18"/>
                <w:color w:val="000000"/>
              </w:rPr>
              <w:t>.</w:t>
            </w: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98</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jc w:val="both"/>
        <w:ind w:firstLine="518"/>
        <w:spacing w:after="0" w:line="242"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3056255</wp:posOffset>
            </wp:positionH>
            <wp:positionV relativeFrom="page">
              <wp:posOffset>372110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t>This Annual Report on Form 10-K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Our Term Loans include certain covenants and other events of default. Should we not comply with these covenants or incur an event of default, we may be required to repay our obligation in cash, which could have an adverse effect on our liquidity; We may be required to issue performance bonds or provide letters of credit, which restricts our ability to access any cash used as collateral for the bonds or letters of credit; Changes in exchange rates could adversely affect our results from operations; If we fail to maintain proper and effective internal controls over financial reporting, our ability to produce accurate and timely financial statements could be impaired and may lead investors and other users to lose confidence in our financial data; Our financial condition may have an adverse effect on our customer and supplier relationships; Our success in addressing the wind energy market is dependent on the manufacturers that license our designs; A significant portion of our revenues are derived from a single customer; Our success is dependent upon attracting and retaining qualified personnel and our inability to do so could significantly damage our business and prospects; We may not realize all of the sales expected from our backlog of orders and contracts; Our business and operations would be adversely impacted in the event of a failure or security breach of our information technology infrastructure; We may not be able to ramp up production at our newly leased manufacturing facility in Romania, and, if we are able to do so, we may have manufacturing quality issues, which would negatively affect our revenues and financial position;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Regulations related to conflict-free minerals may force us to incur significant additional expenses;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Many of our customers outside of the United States, particularly in China, are either directly or indirectly, related to governmental entities, and we could be adversely affected by violations of the United States Foreign Corrupt Practices Act and similar worldwide anti-bribery laws outside the United States; We have had limited experience in marketing and selling our superconductor products and system-level solutions, and our failure to effectively market and sell our products and solutions could lower our revenue and cash flow; We may acquire additional complementary businesses or technologies, which may require us to incur substantial costs for which we may never realize the anticipated benefits; Our success depends upon the commercial use of high temperature superconductor (HTS) products, which is currently limited, and a widespread commercial market for our products may not develop; Growth of the wind energy market depends largely on the availability and size of government subsidies and economic incentives; We have operations in and depend on sales in emerging markets, including India and China, and global conditions could negatively affect our operating results or limit our ability to expand our operations outside of these countries. Changes in India’s or China’s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Adverse changes in domestic and global economic conditions could adversely affect our operating results; We may be unable to adequately prevent disclosure of trade secrets and other proprietary information; 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have filed a demand for arbitration and other lawsuits against our former largest customer, Sinovel, regarding amounts we contend are overdue. We cannot be certain as to the outcome of these proceedings; We have been named as a party in various legal proceedings,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and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These and the important factors discussed under the caption “Risk Factors” in Part 1. Item 1A of this Form 10-K for the fiscal year ended March 31, 2015,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American Superconductor Corporation (“AMSC</w:t>
      </w:r>
      <w:r>
        <w:rPr>
          <w:rFonts w:ascii="Arial" w:cs="Arial" w:eastAsia="Arial" w:hAnsi="Arial"/>
          <w:sz w:val="15"/>
          <w:szCs w:val="15"/>
          <w:color w:val="auto"/>
        </w:rPr>
        <w:t>®</w:t>
      </w:r>
      <w:r>
        <w:rPr>
          <w:rFonts w:ascii="Arial" w:cs="Arial" w:eastAsia="Arial" w:hAnsi="Arial"/>
          <w:sz w:val="18"/>
          <w:szCs w:val="18"/>
          <w:color w:val="auto"/>
        </w:rPr>
        <w:t>”)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company has designed wind turbines for or licensed wind turbine designs to more than 10 wind turbine manufacturing customers including Inox Wind Limited (“Inox”) in India and Beijing JINGCHENG New Energy (“JCNE”) in China. We have also served over 100 customers in the grid market since our inception, including American Electric Power and Long Island Power Authority in the United States, EDF Group in France, Korean Electric Power Corporation in Korea and Ergon Energy in Australia. We serve customers globally through a localized sales and field service presence in our core target markets.</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security, and quality. Concerns about these factors have led to increased spending by corporations as well as supportive government regulations and initiatives on local, state and national levels, including renewable portfolio standards, tax incentives, and international treaties. We estimate that today’s total annual addressable global market for our wind and grid solutions is approximately $10.0 billion.</w:t>
      </w:r>
    </w:p>
    <w:p>
      <w:pPr>
        <w:spacing w:after="0" w:line="15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segment our operations into two market-facing business units: Wind and Grid. We believe this market-centric structure enables us to more effectively anticipate and meet the needs of wind turbine manufacturers, power generation project developers and electric utilities.</w:t>
      </w:r>
    </w:p>
    <w:p>
      <w:pPr>
        <w:spacing w:after="0" w:line="62" w:lineRule="exact"/>
        <w:rPr>
          <w:sz w:val="20"/>
          <w:szCs w:val="20"/>
          <w:color w:val="auto"/>
        </w:rPr>
      </w:pPr>
    </w:p>
    <w:p>
      <w:pPr>
        <w:jc w:val="both"/>
        <w:ind w:left="1020" w:hanging="358"/>
        <w:spacing w:after="0" w:line="27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w:t>
      </w:r>
      <w:r>
        <w:rPr>
          <w:rFonts w:ascii="Arial" w:cs="Arial" w:eastAsia="Arial" w:hAnsi="Arial"/>
          <w:sz w:val="14"/>
          <w:szCs w:val="14"/>
          <w:color w:val="auto"/>
        </w:rPr>
        <w:t>TM</w:t>
      </w:r>
      <w:r>
        <w:rPr>
          <w:rFonts w:ascii="Arial" w:cs="Arial" w:eastAsia="Arial" w:hAnsi="Arial"/>
          <w:sz w:val="17"/>
          <w:szCs w:val="17"/>
          <w:color w:val="auto"/>
        </w:rPr>
        <w:t>,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64" w:lineRule="exact"/>
        <w:rPr>
          <w:rFonts w:ascii="Arial" w:cs="Arial" w:eastAsia="Arial" w:hAnsi="Arial"/>
          <w:sz w:val="17"/>
          <w:szCs w:val="17"/>
          <w:color w:val="auto"/>
        </w:rPr>
      </w:pPr>
    </w:p>
    <w:p>
      <w:pPr>
        <w:jc w:val="both"/>
        <w:ind w:left="1020" w:hanging="358"/>
        <w:spacing w:after="0" w:line="25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w:t>
      </w:r>
      <w:r>
        <w:rPr>
          <w:rFonts w:ascii="Arial" w:cs="Arial" w:eastAsia="Arial" w:hAnsi="Arial"/>
          <w:sz w:val="15"/>
          <w:szCs w:val="15"/>
          <w:color w:val="auto"/>
        </w:rPr>
        <w:t>TM</w:t>
      </w:r>
      <w:r>
        <w:rPr>
          <w:rFonts w:ascii="Arial" w:cs="Arial" w:eastAsia="Arial" w:hAnsi="Arial"/>
          <w:sz w:val="18"/>
          <w:szCs w:val="18"/>
          <w:color w:val="auto"/>
        </w:rPr>
        <w:t>, our Grid business segment enables electric utilities and renewable energy project developers to</w:t>
      </w:r>
      <w:r>
        <w:rPr>
          <w:rFonts w:ascii="Arial" w:cs="Arial" w:eastAsia="Arial" w:hAnsi="Arial"/>
          <w:sz w:val="18"/>
          <w:szCs w:val="18"/>
          <w:i w:val="1"/>
          <w:iCs w:val="1"/>
          <w:color w:val="auto"/>
        </w:rPr>
        <w:t xml:space="preserve"> </w:t>
      </w:r>
      <w:r>
        <w:rPr>
          <w:rFonts w:ascii="Arial" w:cs="Arial" w:eastAsia="Arial" w:hAnsi="Arial"/>
          <w:sz w:val="18"/>
          <w:szCs w:val="18"/>
          <w:color w:val="auto"/>
        </w:rPr>
        <w:t>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193"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2014 refers to the fiscal year beginning on April 1, 2014. Other fiscal years follow similarly.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competitive strengths position us well to execute on our growth plans in the markets we serve.</w:t>
      </w:r>
    </w:p>
    <w:p>
      <w:pPr>
        <w:spacing w:after="0" w:line="117" w:lineRule="exact"/>
        <w:rPr>
          <w:sz w:val="20"/>
          <w:szCs w:val="20"/>
          <w:color w:val="auto"/>
        </w:rPr>
      </w:pPr>
    </w:p>
    <w:p>
      <w:pPr>
        <w:jc w:val="both"/>
        <w:ind w:left="1020" w:right="20" w:hanging="358"/>
        <w:spacing w:after="0" w:line="297"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Unique Solutions for the Wind and Grid Markets. </w:t>
      </w:r>
      <w:r>
        <w:rPr>
          <w:rFonts w:ascii="Arial" w:cs="Arial" w:eastAsia="Arial" w:hAnsi="Arial"/>
          <w:sz w:val="16"/>
          <w:szCs w:val="16"/>
          <w:color w:val="auto"/>
        </w:rPr>
        <w:t>We believe we are the only company in the world that provides wind turbine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integrated approach of wind 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transmission and distribution systems for power grid operators. This unique scope of supply provides us with greater insight into our customers’ evolving needs and greater cross-selling opportunities.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both"/>
        <w:ind w:left="1020" w:hanging="358"/>
        <w:spacing w:after="0" w:line="23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Differentiated Technologies. </w:t>
      </w:r>
      <w:r>
        <w:rPr>
          <w:rFonts w:ascii="Arial" w:cs="Arial" w:eastAsia="Arial" w:hAnsi="Arial"/>
          <w:sz w:val="18"/>
          <w:szCs w:val="18"/>
          <w:color w:val="auto"/>
        </w:rPr>
        <w:t>Our PowerModule™ power converters are based on proprietary software and hardware combinations and 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a broad array of applications, including our D-VAR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grid interconnection and voltage control systems, as well as our wind turbine electrical control systems.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w:t>
      </w:r>
    </w:p>
    <w:p>
      <w:pPr>
        <w:spacing w:after="0" w:line="94" w:lineRule="exact"/>
        <w:rPr>
          <w:rFonts w:ascii="Arial" w:cs="Arial" w:eastAsia="Arial" w:hAnsi="Arial"/>
          <w:sz w:val="18"/>
          <w:szCs w:val="18"/>
          <w:color w:val="auto"/>
        </w:rPr>
      </w:pPr>
    </w:p>
    <w:p>
      <w:pPr>
        <w:jc w:val="both"/>
        <w:ind w:left="1020" w:right="20" w:hanging="358"/>
        <w:spacing w:after="0" w:line="26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Highly Scalable, Low-Cost Manufacturing Platform. </w:t>
      </w:r>
      <w:r>
        <w:rPr>
          <w:rFonts w:ascii="Arial" w:cs="Arial" w:eastAsia="Arial" w:hAnsi="Arial"/>
          <w:sz w:val="18"/>
          <w:szCs w:val="18"/>
          <w:color w:val="auto"/>
        </w:rPr>
        <w:t>We can increase the production of our proprietary power electronics and superconductor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at costs that we believe are low relative to our competitors. Our proprietary manufacturing technique for Amperium wires is modular in nature, which allows us to expand manufacturing capacity at a relatively low incremental cost.</w:t>
      </w:r>
    </w:p>
    <w:p>
      <w:pPr>
        <w:spacing w:after="0" w:line="73" w:lineRule="exact"/>
        <w:rPr>
          <w:rFonts w:ascii="Arial" w:cs="Arial" w:eastAsia="Arial" w:hAnsi="Arial"/>
          <w:sz w:val="18"/>
          <w:szCs w:val="18"/>
          <w:color w:val="auto"/>
        </w:rPr>
      </w:pPr>
    </w:p>
    <w:p>
      <w:pPr>
        <w:jc w:val="both"/>
        <w:ind w:left="1020" w:right="20" w:hanging="358"/>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Robust Patent Position and Engineering Expertise. </w:t>
      </w:r>
      <w:r>
        <w:rPr>
          <w:rFonts w:ascii="Arial" w:cs="Arial" w:eastAsia="Arial" w:hAnsi="Arial"/>
          <w:sz w:val="18"/>
          <w:szCs w:val="18"/>
          <w:color w:val="auto"/>
        </w:rPr>
        <w:t>As of March 31, 2015, we owned more than 390 patents and patent applications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international counterparts to U.S. patents), and had rights through exclusive and non-exclusive licenses to more than 220 additional patents and patent applications worldwide. We believe our technology and manufacturing knowledge base, customer and product expertise and patent portfolio provide a strong competitive position.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Building on these competitive strengths, we plan to focus on driving revenue growth and enhancing our operating results through the objectives defined below.</w:t>
      </w:r>
    </w:p>
    <w:p>
      <w:pPr>
        <w:spacing w:after="0" w:line="62" w:lineRule="exact"/>
        <w:rPr>
          <w:sz w:val="20"/>
          <w:szCs w:val="20"/>
          <w:color w:val="auto"/>
        </w:rPr>
      </w:pPr>
    </w:p>
    <w:p>
      <w:pPr>
        <w:ind w:left="1020" w:right="20" w:hanging="358"/>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Provide Solutions from Power Generation to Delivery. </w:t>
      </w:r>
      <w:r>
        <w:rPr>
          <w:rFonts w:ascii="Arial" w:cs="Arial" w:eastAsia="Arial" w:hAnsi="Arial"/>
          <w:sz w:val="17"/>
          <w:szCs w:val="17"/>
          <w:color w:val="auto"/>
        </w:rPr>
        <w:t>From the generation source to the distribution system, we focus on providing best-in-class engineering, support services, technologies and solutions that make the world’s power supplies smarter, cleaner and stronger.</w:t>
      </w:r>
    </w:p>
    <w:p>
      <w:pPr>
        <w:spacing w:after="0" w:line="38" w:lineRule="exact"/>
        <w:rPr>
          <w:rFonts w:ascii="Arial" w:cs="Arial" w:eastAsia="Arial" w:hAnsi="Arial"/>
          <w:sz w:val="17"/>
          <w:szCs w:val="17"/>
          <w:color w:val="auto"/>
        </w:rPr>
      </w:pPr>
    </w:p>
    <w:p>
      <w:pPr>
        <w:jc w:val="both"/>
        <w:ind w:left="1020" w:right="20" w:hanging="358"/>
        <w:spacing w:after="0" w:line="26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Focus on “Megawatt-Scale” Power Offerings. </w:t>
      </w:r>
      <w:r>
        <w:rPr>
          <w:rFonts w:ascii="Arial" w:cs="Arial" w:eastAsia="Arial" w:hAnsi="Arial"/>
          <w:sz w:val="18"/>
          <w:szCs w:val="18"/>
          <w:color w:val="auto"/>
        </w:rPr>
        <w:t>Our research, product development, and sales efforts focus on megawatt-scale offerings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designs of power electronics for large wind turbine platforms to systems that stabilize power flows, integrate renewable power into the grid and carry power to and from transmission and distribution substations.</w:t>
      </w:r>
    </w:p>
    <w:p>
      <w:pPr>
        <w:spacing w:after="0" w:line="73" w:lineRule="exact"/>
        <w:rPr>
          <w:rFonts w:ascii="Arial" w:cs="Arial" w:eastAsia="Arial" w:hAnsi="Arial"/>
          <w:sz w:val="18"/>
          <w:szCs w:val="18"/>
          <w:color w:val="auto"/>
        </w:rPr>
      </w:pPr>
    </w:p>
    <w:p>
      <w:pPr>
        <w:jc w:val="both"/>
        <w:ind w:left="1020" w:hanging="358"/>
        <w:spacing w:after="0" w:line="27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Pursue Emerging Overseas Markets and Serve Key Markets Locally. </w:t>
      </w:r>
      <w:r>
        <w:rPr>
          <w:rFonts w:ascii="Arial" w:cs="Arial" w:eastAsia="Arial" w:hAnsi="Arial"/>
          <w:sz w:val="17"/>
          <w:szCs w:val="17"/>
          <w:color w:val="auto"/>
        </w:rPr>
        <w:t>We focus our sales efforts on overseas markets that are investing</w:t>
      </w:r>
      <w:r>
        <w:rPr>
          <w:rFonts w:ascii="Arial" w:cs="Arial" w:eastAsia="Arial" w:hAnsi="Arial"/>
          <w:sz w:val="17"/>
          <w:szCs w:val="17"/>
          <w:i w:val="1"/>
          <w:iCs w:val="1"/>
          <w:color w:val="auto"/>
        </w:rPr>
        <w:t xml:space="preserve"> </w:t>
      </w:r>
      <w:r>
        <w:rPr>
          <w:rFonts w:ascii="Arial" w:cs="Arial" w:eastAsia="Arial" w:hAnsi="Arial"/>
          <w:sz w:val="17"/>
          <w:szCs w:val="17"/>
          <w:color w:val="auto"/>
        </w:rPr>
        <w:t>aggressively in renewable energy and power grid projects, and we have been particularly successful in targeting key Asian markets, including India and China.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China, India, South Africa, the United Kingdom, and the United States.</w:t>
      </w:r>
    </w:p>
    <w:p>
      <w:pPr>
        <w:spacing w:after="0" w:line="64" w:lineRule="exact"/>
        <w:rPr>
          <w:rFonts w:ascii="Arial" w:cs="Arial" w:eastAsia="Arial" w:hAnsi="Arial"/>
          <w:sz w:val="17"/>
          <w:szCs w:val="17"/>
          <w:color w:val="auto"/>
        </w:rPr>
      </w:pPr>
    </w:p>
    <w:p>
      <w:pPr>
        <w:jc w:val="both"/>
        <w:ind w:left="1020" w:hanging="358"/>
        <w:spacing w:after="0" w:line="26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We have a strong record of developing unique solutions for megawatt-scale power applications and will continue our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investing in innovation. Recently, our product development efforts have included our Resilient Electric Grid (“REG”) system for the electricity grid.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solutions address two substantial global demands:</w:t>
      </w:r>
    </w:p>
    <w:p>
      <w:pPr>
        <w:spacing w:after="0" w:line="117" w:lineRule="exact"/>
        <w:rPr>
          <w:sz w:val="20"/>
          <w:szCs w:val="20"/>
          <w:color w:val="auto"/>
        </w:rPr>
      </w:pPr>
    </w:p>
    <w:p>
      <w:pPr>
        <w:ind w:left="1020" w:hanging="35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renewable sources of electricity, and</w:t>
      </w:r>
    </w:p>
    <w:p>
      <w:pPr>
        <w:spacing w:after="0" w:line="117" w:lineRule="exact"/>
        <w:rPr>
          <w:rFonts w:ascii="Arial" w:cs="Arial" w:eastAsia="Arial" w:hAnsi="Arial"/>
          <w:sz w:val="18"/>
          <w:szCs w:val="18"/>
          <w:color w:val="auto"/>
        </w:rPr>
      </w:pPr>
    </w:p>
    <w:p>
      <w:pPr>
        <w:ind w:left="1020" w:right="20" w:hanging="35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modernized, smart power grid infrastructure that alleviates capacity constraints and improves electricity reliability, security, and efficiency.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Wind market overview</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According to GlobalData, a research firm, nearly 52 Gigawatts (GW) of wind generation capacity were added worldwide in 2014, as compared to 35 GW in 2013. GlobalData anticipates that more than 53 GW of additional capacity will be added in 2015.</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Our solutions for the wind market</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62" w:lineRule="exact"/>
        <w:rPr>
          <w:sz w:val="20"/>
          <w:szCs w:val="20"/>
          <w:color w:val="auto"/>
        </w:rPr>
      </w:pPr>
    </w:p>
    <w:p>
      <w:pPr>
        <w:jc w:val="both"/>
        <w:ind w:left="1020" w:hanging="358"/>
        <w:spacing w:after="0" w:line="297"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Electrical Control Systems. </w:t>
      </w:r>
      <w:r>
        <w:rPr>
          <w:rFonts w:ascii="Arial" w:cs="Arial" w:eastAsia="Arial" w:hAnsi="Arial"/>
          <w:sz w:val="16"/>
          <w:szCs w:val="16"/>
          <w:color w:val="auto"/>
        </w:rPr>
        <w:t>We provide full electrical control systems or a subset of those systems (“core electrical components”) to</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of wind turbines designed by us. Our electrical control systems regulate voltage, control power flows and maximize wind turbine efficiency, among other functions. To date, we have shipped enough core electrical components and complete electrical control systems to power more than 15,000 MW of wind power. We believe our electrical control systems represent approximately 10% of a wind turbine’s bill of materials. We believe that the total addressable market for electrical control systems was approximately $3.0 billion annually in 2014.</w:t>
      </w:r>
    </w:p>
    <w:p>
      <w:pPr>
        <w:spacing w:after="0" w:line="50" w:lineRule="exact"/>
        <w:rPr>
          <w:rFonts w:ascii="Arial" w:cs="Arial" w:eastAsia="Arial" w:hAnsi="Arial"/>
          <w:sz w:val="16"/>
          <w:szCs w:val="16"/>
          <w:color w:val="auto"/>
        </w:rPr>
      </w:pPr>
    </w:p>
    <w:p>
      <w:pPr>
        <w:jc w:val="both"/>
        <w:ind w:left="1020" w:right="20" w:hanging="358"/>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Wind Turbine Designs. </w:t>
      </w:r>
      <w:r>
        <w:rPr>
          <w:rFonts w:ascii="Arial" w:cs="Arial" w:eastAsia="Arial" w:hAnsi="Arial"/>
          <w:sz w:val="17"/>
          <w:szCs w:val="17"/>
          <w:color w:val="auto"/>
        </w:rPr>
        <w:t>We design and develop entire state-of-the-art onshore and offshore wind turbines with power ratings of 2 MW’s and</w:t>
      </w:r>
      <w:r>
        <w:rPr>
          <w:rFonts w:ascii="Arial" w:cs="Arial" w:eastAsia="Arial" w:hAnsi="Arial"/>
          <w:sz w:val="17"/>
          <w:szCs w:val="17"/>
          <w:i w:val="1"/>
          <w:iCs w:val="1"/>
          <w:color w:val="auto"/>
        </w:rPr>
        <w:t xml:space="preserve"> </w:t>
      </w:r>
      <w:r>
        <w:rPr>
          <w:rFonts w:ascii="Arial" w:cs="Arial" w:eastAsia="Arial" w:hAnsi="Arial"/>
          <w:sz w:val="17"/>
          <w:szCs w:val="17"/>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core electrical components or complete electrical control systems needed to operate the wind turbines.</w:t>
      </w:r>
    </w:p>
    <w:p>
      <w:pPr>
        <w:spacing w:after="0" w:line="63" w:lineRule="exact"/>
        <w:rPr>
          <w:rFonts w:ascii="Arial" w:cs="Arial" w:eastAsia="Arial" w:hAnsi="Arial"/>
          <w:sz w:val="17"/>
          <w:szCs w:val="17"/>
          <w:color w:val="auto"/>
        </w:rPr>
      </w:pPr>
    </w:p>
    <w:p>
      <w:pPr>
        <w:jc w:val="both"/>
        <w:ind w:left="1020" w:right="20" w:hanging="358"/>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Customer Support Services</w:t>
      </w:r>
      <w:r>
        <w:rPr>
          <w:rFonts w:ascii="Arial" w:cs="Arial" w:eastAsia="Arial" w:hAnsi="Arial"/>
          <w:sz w:val="18"/>
          <w:szCs w:val="18"/>
          <w:color w:val="auto"/>
        </w:rPr>
        <w:t>. We provide extensive customer support services to wind turbine manufacturers. These services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approach to the wind energy markets allows our customers to use our world-class turbine engineering capabilities while minimizing their research and development costs. These services and our advanced electrical control systems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Grid market overview</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It is widely believed that the electricity grid in the U.S. is in need of modernization through a technology upgrade if it is to maintain reliability and adapt to the changing market needs. In fact, a recent report written by The White House and titled, “Economic Benefits of increasing Electric Grid Resilience in Weather Outages” found that economic damage from weather-related power outages averaged between $18 and $33 billion per year between 2003 and 2012 – and went as high as $75 billion in 2008 and $52 billion in 2012, as a result of damage caused by Hurricanes Ike and Sandy, respectively. Furthermore, the electric grid is also vulnerable to equipment failure, acts of terror, and threats to cyber security. Recent events and the reliance of safety, security, and economy on the electricity grid have prompted broad recognition worldwide of the need to modernize and enhance the reliability and security of power grids.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Power grid operators worldwide face various challenges, including:</w:t>
      </w:r>
    </w:p>
    <w:p>
      <w:pPr>
        <w:spacing w:after="0" w:line="117" w:lineRule="exact"/>
        <w:rPr>
          <w:sz w:val="20"/>
          <w:szCs w:val="20"/>
          <w:color w:val="auto"/>
        </w:rPr>
      </w:pPr>
    </w:p>
    <w:p>
      <w:pPr>
        <w:ind w:left="1020" w:hanging="35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Stability</w:t>
      </w:r>
      <w:r>
        <w:rPr>
          <w:rFonts w:ascii="Arial" w:cs="Arial" w:eastAsia="Arial" w:hAnsi="Arial"/>
          <w:sz w:val="18"/>
          <w:szCs w:val="18"/>
          <w:color w:val="auto"/>
        </w:rPr>
        <w:t>. Power grid operators are confronting power quality and stability issues arising from intermittent renewable energy sources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capacity limitations of transmission and overhead distribution lines and underground cables.</w:t>
      </w:r>
    </w:p>
    <w:p>
      <w:pPr>
        <w:spacing w:after="0" w:line="62" w:lineRule="exact"/>
        <w:rPr>
          <w:rFonts w:ascii="Arial" w:cs="Arial" w:eastAsia="Arial" w:hAnsi="Arial"/>
          <w:sz w:val="18"/>
          <w:szCs w:val="18"/>
          <w:color w:val="auto"/>
        </w:rPr>
      </w:pPr>
    </w:p>
    <w:p>
      <w:pPr>
        <w:jc w:val="both"/>
        <w:ind w:left="1020" w:right="20" w:hanging="358"/>
        <w:spacing w:after="0" w:line="31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Reliability</w:t>
      </w:r>
      <w:r>
        <w:rPr>
          <w:rFonts w:ascii="Arial" w:cs="Arial" w:eastAsia="Arial" w:hAnsi="Arial"/>
          <w:sz w:val="16"/>
          <w:szCs w:val="16"/>
          <w:color w:val="auto"/>
        </w:rPr>
        <w:t>. Traditional transmission lines and cables often reach their reliable voltage stability limit well below their thermal threshold. Driving</w:t>
      </w:r>
      <w:r>
        <w:rPr>
          <w:rFonts w:ascii="Arial" w:cs="Arial" w:eastAsia="Arial" w:hAnsi="Arial"/>
          <w:sz w:val="16"/>
          <w:szCs w:val="16"/>
          <w:i w:val="1"/>
          <w:iCs w:val="1"/>
          <w:color w:val="auto"/>
        </w:rPr>
        <w:t xml:space="preserve"> </w:t>
      </w:r>
      <w:r>
        <w:rPr>
          <w:rFonts w:ascii="Arial" w:cs="Arial" w:eastAsia="Arial" w:hAnsi="Arial"/>
          <w:sz w:val="16"/>
          <w:szCs w:val="16"/>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38" w:lineRule="exact"/>
        <w:rPr>
          <w:rFonts w:ascii="Arial" w:cs="Arial" w:eastAsia="Arial" w:hAnsi="Arial"/>
          <w:sz w:val="16"/>
          <w:szCs w:val="16"/>
          <w:color w:val="auto"/>
        </w:rPr>
      </w:pPr>
    </w:p>
    <w:p>
      <w:pPr>
        <w:jc w:val="both"/>
        <w:ind w:left="1020" w:hanging="358"/>
        <w:spacing w:after="0" w:line="273"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Capacity</w:t>
      </w:r>
      <w:r>
        <w:rPr>
          <w:rFonts w:ascii="Arial" w:cs="Arial" w:eastAsia="Arial" w:hAnsi="Arial"/>
          <w:sz w:val="17"/>
          <w:szCs w:val="17"/>
          <w:color w:val="auto"/>
        </w:rPr>
        <w:t>. The traditional way to enable increases in power grid capacity without losing voltage stability is to install more overhead power lines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70" w:lineRule="exact"/>
        <w:rPr>
          <w:rFonts w:ascii="Arial" w:cs="Arial" w:eastAsia="Arial" w:hAnsi="Arial"/>
          <w:sz w:val="17"/>
          <w:szCs w:val="17"/>
          <w:color w:val="auto"/>
        </w:rPr>
      </w:pPr>
    </w:p>
    <w:p>
      <w:pPr>
        <w:jc w:val="both"/>
        <w:ind w:left="1020" w:hanging="358"/>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Efficiency</w:t>
      </w:r>
      <w:r>
        <w:rPr>
          <w:rFonts w:ascii="Arial" w:cs="Arial" w:eastAsia="Arial" w:hAnsi="Arial"/>
          <w:sz w:val="18"/>
          <w:szCs w:val="18"/>
          <w:color w:val="auto"/>
        </w:rPr>
        <w:t>. Most overhead lines and underground cables use traditional conductors such as copper and aluminum, which lose power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resistance. At transmission voltage, electrical losses average about 7% in the United States and other developed nations, but can exceed 20% in some locations due to the distance of the line, quality of conductor, and the power grid’s architecture and characteristics, among other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6" w:name="page7"/>
    <w:bookmarkEnd w:id="6"/>
    <w:p>
      <w:pPr>
        <w:jc w:val="both"/>
        <w:ind w:left="1020" w:right="20" w:hanging="358"/>
        <w:spacing w:after="0" w:line="282"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Security</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Catastrophic equipment failures caused by aging equipment, physical and cyber threats, and weather related disasters can leave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of an urban environment without power for hours or days. It can be difficult to recover from extended power outages in urban load centers, worsening situations where the personal safety of residents and the economic health of business are threatened.</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solutions for the grid market</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address these challenges in the Grid market by providing services and solutions designed to increase the power grid’s capacity, reliability, security and efficiency. We also provide advanced ship protection equipment for the U.S Navy in this segment as each Navy ship can be thought of as having its own power grid. Our solutions include:</w:t>
      </w:r>
    </w:p>
    <w:p>
      <w:pPr>
        <w:spacing w:after="0" w:line="73" w:lineRule="exact"/>
        <w:rPr>
          <w:sz w:val="20"/>
          <w:szCs w:val="20"/>
          <w:color w:val="auto"/>
        </w:rPr>
      </w:pPr>
    </w:p>
    <w:p>
      <w:pPr>
        <w:jc w:val="both"/>
        <w:ind w:left="1020" w:hanging="358"/>
        <w:spacing w:after="0" w:line="297"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Superconductor Wire and Applications</w:t>
      </w:r>
      <w:r>
        <w:rPr>
          <w:rFonts w:ascii="Arial" w:cs="Arial" w:eastAsia="Arial" w:hAnsi="Arial"/>
          <w:sz w:val="16"/>
          <w:szCs w:val="16"/>
          <w:color w:val="auto"/>
        </w:rPr>
        <w:t>. Conventional conductors of electricity, such as aluminum and copper wire, lose energy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resistance. Using a compound of yttrium barium copper oxide (“YBCO”), we manufacture and provide high-temperature superconductor (“HTS”) wire that can conduct many times more electricity than conventional conductors with no power loss. We have developed full system solutions that we expect to sell directly to customers. This business model leverages our applications expertise, drives value beyond the wire and enables us to recognize revenue and take ownership over the marketing and sales of the full systems. These systems include:</w:t>
      </w:r>
    </w:p>
    <w:p>
      <w:pPr>
        <w:spacing w:after="0" w:line="50" w:lineRule="exact"/>
        <w:rPr>
          <w:sz w:val="20"/>
          <w:szCs w:val="20"/>
          <w:color w:val="auto"/>
        </w:rPr>
      </w:pPr>
    </w:p>
    <w:p>
      <w:pPr>
        <w:jc w:val="both"/>
        <w:ind w:left="2120" w:hanging="324"/>
        <w:spacing w:after="0" w:line="283" w:lineRule="auto"/>
        <w:tabs>
          <w:tab w:leader="none" w:pos="2120" w:val="left"/>
        </w:tabs>
        <w:numPr>
          <w:ilvl w:val="1"/>
          <w:numId w:val="13"/>
        </w:numPr>
        <w:rPr>
          <w:rFonts w:ascii="Courier New" w:cs="Courier New" w:eastAsia="Courier New" w:hAnsi="Courier New"/>
          <w:sz w:val="19"/>
          <w:szCs w:val="19"/>
          <w:color w:val="auto"/>
        </w:rPr>
      </w:pPr>
      <w:r>
        <w:rPr>
          <w:rFonts w:ascii="Arial" w:cs="Arial" w:eastAsia="Arial" w:hAnsi="Arial"/>
          <w:sz w:val="16"/>
          <w:szCs w:val="16"/>
          <w:i w:val="1"/>
          <w:iCs w:val="1"/>
          <w:color w:val="auto"/>
        </w:rPr>
        <w:t>Resilient Electric Grid Systems</w:t>
      </w:r>
      <w:r>
        <w:rPr>
          <w:rFonts w:ascii="Arial" w:cs="Arial" w:eastAsia="Arial" w:hAnsi="Arial"/>
          <w:sz w:val="16"/>
          <w:szCs w:val="16"/>
          <w:color w:val="auto"/>
        </w:rPr>
        <w:t>. Our REG system has two primary applications that increase the reliability and the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urban infrastructure. For applications focused on reliability improvement, the REG cable is best used in a “ring” or “loop” configuration to interconnect nearby urban 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For applications focused on capacity improvement, the REG cable can be used in a “branch” configuration. In this application, the REG cable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 power handling capacity with fault current limiting characteristics; features that are attributable to our proprietary HTS wire. Assuming all urban substations in major cities in the U.S. could be connected with our REG system, we believe the total annual addressable market is approximately $5.0 billion.</w:t>
      </w:r>
    </w:p>
    <w:p>
      <w:pPr>
        <w:spacing w:after="0" w:line="53" w:lineRule="exact"/>
        <w:rPr>
          <w:rFonts w:ascii="Courier New" w:cs="Courier New" w:eastAsia="Courier New" w:hAnsi="Courier New"/>
          <w:sz w:val="19"/>
          <w:szCs w:val="19"/>
          <w:color w:val="auto"/>
        </w:rPr>
      </w:pPr>
    </w:p>
    <w:p>
      <w:pPr>
        <w:jc w:val="both"/>
        <w:ind w:left="2120" w:hanging="324"/>
        <w:spacing w:after="0" w:line="284" w:lineRule="auto"/>
        <w:tabs>
          <w:tab w:leader="none" w:pos="2120" w:val="left"/>
        </w:tabs>
        <w:numPr>
          <w:ilvl w:val="1"/>
          <w:numId w:val="13"/>
        </w:numPr>
        <w:rPr>
          <w:rFonts w:ascii="Courier New" w:cs="Courier New" w:eastAsia="Courier New" w:hAnsi="Courier New"/>
          <w:sz w:val="20"/>
          <w:szCs w:val="20"/>
          <w:color w:val="auto"/>
        </w:rPr>
      </w:pPr>
      <w:r>
        <w:rPr>
          <w:rFonts w:ascii="Arial" w:cs="Arial" w:eastAsia="Arial" w:hAnsi="Arial"/>
          <w:sz w:val="16"/>
          <w:szCs w:val="16"/>
          <w:i w:val="1"/>
          <w:iCs w:val="1"/>
          <w:color w:val="auto"/>
        </w:rPr>
        <w:t>Ship Protection Systems</w:t>
      </w:r>
      <w:r>
        <w:rPr>
          <w:rFonts w:ascii="Arial" w:cs="Arial" w:eastAsia="Arial" w:hAnsi="Arial"/>
          <w:sz w:val="19"/>
          <w:szCs w:val="19"/>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focus of our ship protection systems (“SPS”) has been degaussing systems. These</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reduce a Naval ship’s magnetic signature, making it much more difficult for a mine to detect and damage a ship. Traditionally made of heavy copper wire, degaussing is required on all Navy combat ships. Our HTS advanced degaussing system is lightweight, compact, and often outperforms its conventional counterpart. This HTS system is estimated to enable a 50 to 80 percent reduction in total degaussing system weight, offering significant potential for fuel savings or options to add different payloads. The core components of a degaussing system are transferable to other applications being targeted for ship implementation. We are also continuing to work on expanding HTS technology into the fleet through a variety of applications for power, propulsion, and protection equipment. We estimate that the total addressable market for HTS-based, SPS systems for the U.S. Navy fleet to be between $75.0 million and $120.0 million per year between the years 2020 and 2025.</w:t>
      </w:r>
    </w:p>
    <w:p>
      <w:pPr>
        <w:spacing w:after="0" w:line="63" w:lineRule="exact"/>
        <w:rPr>
          <w:rFonts w:ascii="Courier New" w:cs="Courier New" w:eastAsia="Courier New" w:hAnsi="Courier New"/>
          <w:sz w:val="20"/>
          <w:szCs w:val="20"/>
          <w:color w:val="auto"/>
        </w:rPr>
      </w:pPr>
    </w:p>
    <w:p>
      <w:pPr>
        <w:ind w:left="1380" w:hanging="345"/>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also providing full system solutions through a partnership with industry leader Nexans:</w:t>
      </w:r>
    </w:p>
    <w:p>
      <w:pPr>
        <w:spacing w:after="0" w:line="117" w:lineRule="exact"/>
        <w:rPr>
          <w:rFonts w:ascii="Arial" w:cs="Arial" w:eastAsia="Arial" w:hAnsi="Arial"/>
          <w:sz w:val="18"/>
          <w:szCs w:val="18"/>
          <w:color w:val="auto"/>
        </w:rPr>
      </w:pPr>
    </w:p>
    <w:p>
      <w:pPr>
        <w:jc w:val="both"/>
        <w:ind w:left="2120" w:hanging="324"/>
        <w:spacing w:after="0" w:line="253" w:lineRule="auto"/>
        <w:tabs>
          <w:tab w:leader="none" w:pos="212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i w:val="1"/>
          <w:iCs w:val="1"/>
          <w:color w:val="auto"/>
        </w:rPr>
        <w:t>Stand-alone Fault Current Limiters</w:t>
      </w:r>
      <w:r>
        <w:rPr>
          <w:rFonts w:ascii="Arial" w:cs="Arial" w:eastAsia="Arial" w:hAnsi="Arial"/>
          <w:sz w:val="18"/>
          <w:szCs w:val="18"/>
          <w:color w:val="auto"/>
        </w:rPr>
        <w:t>. Used in substations, superconductor fault current limiters (“SFCLs”) act as surge protectors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power grid. SFCLs can help protect the grid by reducing the destructive nature of faults, extending the life of existing substation equipment and allowing utilities to defer or eliminate equipment replacements or upgrades. Together with Nexans, we offer SFCLs for medium voltage alternating current (“AC”) networks.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69" w:right="239" w:bottom="1440" w:gutter="0" w:footer="0" w:header="0"/>
        </w:sectPr>
      </w:pPr>
    </w:p>
    <w:bookmarkStart w:id="7" w:name="page8"/>
    <w:bookmarkEnd w:id="7"/>
    <w:p>
      <w:pPr>
        <w:jc w:val="both"/>
        <w:ind w:left="1400" w:hanging="358"/>
        <w:spacing w:after="0" w:line="290" w:lineRule="auto"/>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FACTS Systems. </w:t>
      </w:r>
      <w:r>
        <w:rPr>
          <w:rFonts w:ascii="Arial" w:cs="Arial" w:eastAsia="Arial" w:hAnsi="Arial"/>
          <w:sz w:val="16"/>
          <w:szCs w:val="16"/>
          <w:color w:val="auto"/>
        </w:rPr>
        <w:t>Flexible alternating current transmission system – or FACTS – is a system that consists of power electronics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static components used for controlling power flow and voltage in the AC transmission system. FACTS products aim to increase controllability and power transfer ability of a network, which allows more effective utilization of existing assets and reduces the need for new transmission lines, and facilities to increase electricity availability. Our FACTS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power quality systems for utilities and heavy industrial operations and transmission and distribution cable systems. Our transmission planners work with our customers on the following solutions:</w:t>
      </w:r>
    </w:p>
    <w:p>
      <w:pPr>
        <w:spacing w:after="0" w:line="58" w:lineRule="exact"/>
        <w:rPr>
          <w:sz w:val="20"/>
          <w:szCs w:val="20"/>
          <w:color w:val="auto"/>
        </w:rPr>
      </w:pPr>
    </w:p>
    <w:p>
      <w:pPr>
        <w:jc w:val="both"/>
        <w:ind w:left="2120" w:hanging="324"/>
        <w:spacing w:after="0" w:line="269" w:lineRule="auto"/>
        <w:tabs>
          <w:tab w:leader="none" w:pos="212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i w:val="1"/>
          <w:iCs w:val="1"/>
          <w:color w:val="auto"/>
        </w:rPr>
        <w:t>D-VAR</w:t>
      </w:r>
      <w:r>
        <w:rPr>
          <w:rFonts w:ascii="Arial" w:cs="Arial" w:eastAsia="Arial" w:hAnsi="Arial"/>
          <w:sz w:val="14"/>
          <w:szCs w:val="14"/>
          <w:color w:val="auto"/>
        </w:rPr>
        <w:t>®</w:t>
      </w:r>
      <w:r>
        <w:rPr>
          <w:rFonts w:ascii="Arial" w:cs="Arial" w:eastAsia="Arial" w:hAnsi="Arial"/>
          <w:sz w:val="17"/>
          <w:szCs w:val="17"/>
          <w:i w:val="1"/>
          <w:iCs w:val="1"/>
          <w:color w:val="auto"/>
        </w:rPr>
        <w:t xml:space="preserve"> Systems</w:t>
      </w:r>
      <w:r>
        <w:rPr>
          <w:rFonts w:ascii="Arial" w:cs="Arial" w:eastAsia="Arial" w:hAnsi="Arial"/>
          <w:sz w:val="17"/>
          <w:szCs w:val="17"/>
          <w:color w:val="auto"/>
        </w:rPr>
        <w:t>. The power that flows through AC networks comprises both real power, measured in watts, and reactive</w:t>
      </w:r>
      <w:r>
        <w:rPr>
          <w:rFonts w:ascii="Arial" w:cs="Arial" w:eastAsia="Arial" w:hAnsi="Arial"/>
          <w:sz w:val="17"/>
          <w:szCs w:val="17"/>
          <w:i w:val="1"/>
          <w:iCs w:val="1"/>
          <w:color w:val="auto"/>
        </w:rPr>
        <w:t xml:space="preserve"> </w:t>
      </w:r>
      <w:r>
        <w:rPr>
          <w:rFonts w:ascii="Arial" w:cs="Arial" w:eastAsia="Arial" w:hAnsi="Arial"/>
          <w:sz w:val="17"/>
          <w:szCs w:val="17"/>
          <w:color w:val="auto"/>
        </w:rPr>
        <w:t>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GlobalData and AMSC estimate the market for FACTS systems such as D-VAR was more than $1.4 billion in 2014 and that this market could increase to nearly $1.6 billion by 2020.</w:t>
      </w:r>
    </w:p>
    <w:p>
      <w:pPr>
        <w:spacing w:after="0" w:line="73" w:lineRule="exact"/>
        <w:rPr>
          <w:rFonts w:ascii="Courier New" w:cs="Courier New" w:eastAsia="Courier New" w:hAnsi="Courier New"/>
          <w:sz w:val="17"/>
          <w:szCs w:val="17"/>
          <w:color w:val="auto"/>
        </w:rPr>
      </w:pPr>
    </w:p>
    <w:p>
      <w:pPr>
        <w:jc w:val="both"/>
        <w:ind w:left="2120" w:right="20" w:hanging="324"/>
        <w:spacing w:after="0" w:line="252" w:lineRule="auto"/>
        <w:tabs>
          <w:tab w:leader="none" w:pos="212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i w:val="1"/>
          <w:iCs w:val="1"/>
          <w:color w:val="auto"/>
        </w:rPr>
        <w:t xml:space="preserve">D-SVC Systems. </w:t>
      </w:r>
      <w:r>
        <w:rPr>
          <w:rFonts w:ascii="Arial" w:cs="Arial" w:eastAsia="Arial" w:hAnsi="Arial"/>
          <w:sz w:val="18"/>
          <w:szCs w:val="18"/>
          <w:color w:val="auto"/>
        </w:rPr>
        <w:t>Our D-SVC systems are a cost-effective solution that allow large industrial loads to operate on the AC power</w:t>
      </w:r>
      <w:r>
        <w:rPr>
          <w:rFonts w:ascii="Arial" w:cs="Arial" w:eastAsia="Arial" w:hAnsi="Arial"/>
          <w:sz w:val="18"/>
          <w:szCs w:val="18"/>
          <w:i w:val="1"/>
          <w:iCs w:val="1"/>
          <w:color w:val="auto"/>
        </w:rPr>
        <w:t xml:space="preserve"> </w:t>
      </w:r>
      <w:r>
        <w:rPr>
          <w:rFonts w:ascii="Arial" w:cs="Arial" w:eastAsia="Arial" w:hAnsi="Arial"/>
          <w:sz w:val="18"/>
          <w:szCs w:val="18"/>
          <w:color w:val="auto"/>
        </w:rPr>
        <w:t>system while minimizing the impacts of voltage sags and flicker problems, and also provides dynamic, distribution level voltage regulation and power factor control solutions for utilities. Our D-SVC system automatically applies VARs on a cycle-by-cycle basis to maintain steady line voltages adjacent to large inductive loads such as motors, welders, arc furnaces and pipeline pumping stations.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Technologies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Superconductors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second generation (“2G”) HTS wire technology helps us address the smart grid infrastructure market opportunity by providing components and solutions designed to increase the power grid’s capacity, reliability, security and efficiency. Our wire, known as Amperium wire, conducts electricity with zero resistance below about -297 degrees Fahrenheit. Additionally, our 2G wire has the ability to switch to a resistive state whenever a fault current exceeds a predetermined value. This characteristic is a key enabler to our REG system. The technology can be used in many applications including electricity transmission cables, superconducting generators, voltage regulators and degaussing systems for naval vessels. Superconductor power cables, which are a class of high-capacity, environmentally-benign, and easy-to-install transmission and distribution cables, address power grid capacity issues by increasing the thermal limit of existing or new corridors. Superconductor power cables are cylindrically shaped systems consisting of HTS wires (which conduct electricity) surrounded by electrical insulation encased in a metal or polymeric jacket.</w:t>
      </w:r>
    </w:p>
    <w:p>
      <w:pPr>
        <w:spacing w:after="0" w:line="1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Currently, power cables are made primarily using copper wires. Power cables incorporating our Amperium wire are able to carry up to 10 times the electrical current of copper cables of the same diameter. These cable systems also bring efficiency advantages. Traditional cable systems heat up due to the electrical resistance of copper, causing electrical losses. Electrical losses at transmission voltage average about 7% in the United States and other developed nations, but can exceed 20% in some locations due to the distance of the line and the power grid’s architecture and characteristics, among other factors. Conversely, HTS materials can carry direct current (“DC”) with 100% efficiency and AC with nearly 100% efficiency when they are cooled below a critical temperature. As a result, AC HTS power cables lose significantly less power to resistive heating than copper cables, and DC HTS power cables have no energy losses due to resistive heating.</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PowerModule Power Converters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family of PowerModule power electronic converters incorporates power semiconductor devices that switch, control and move large amounts of power faster and with far less disruption than the electromechanical switches historically used. While today our PowerModule systems are used primarily in wind and power grid applications, they also have been incorporated into electric motor drives, distributed and dispersed generation devices (micro-turbines, fuel cells, and photovoltaics), power quality solutions, batteries, and flywheel-based uninterruptible power supplies.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wind turbine electrical control systems and our D-VAR systems incorporate our PowerModule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designed wind turbines for or licensed wind turbine designs to more than 10 wind turbine manufacturing customers including Inox in India and JCNE in China. We have also served over 100 customers in the grid market since our inception, including American Electric Power and Long Island Power Authority in the United States, EDF Group in France, Korean Electric Power Corporation in Korea and Ergon Energy in Australia. We serve customers globally through a localized sales and field service presence in our core target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manufacturing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primary facilities and their primary functions are as follows:</w:t>
      </w:r>
    </w:p>
    <w:p>
      <w:pPr>
        <w:spacing w:after="0" w:line="117" w:lineRule="exact"/>
        <w:rPr>
          <w:sz w:val="20"/>
          <w:szCs w:val="20"/>
          <w:color w:val="auto"/>
        </w:rPr>
      </w:pPr>
    </w:p>
    <w:p>
      <w:pPr>
        <w:ind w:left="1020" w:right="20" w:hanging="35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Devens, Massachusetts — Corporate headquarters, superconductors research, development and manufacturing, FACTS product engineering and manufacturing</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Berlin, Wisconsin — Power electronics and controls research and development</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Klagenfurt, Austria — Wind turbine engineering</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Suzhou, China — Electrical Control System and PowerModule power converter manufacturing for the Chinese market</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Timisoara, Romania – Electrical Control System and PowerModule power converter manufacturing for all other markets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global footprint also includes sales and field service offices in Australia, Germany, India, and the United Kingdom.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strategy is to serve customers locally in our core target markets through a direct sales force operating out of sales offices worldwide. In addition, we have begun to utilize manufacturers’ sales representatives in the United States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5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fiscal 2014, Inox accounted for approximately 56% of our total revenues, no other customer accounted for more than 10% of our total revenues in fiscal 2014. In fiscal 2013, Inox and JCNE accounted for approximately 31% and 18%, respectively, of our total revenues. In fiscal 2012, Inox and JCNE accounted for approximately 19% and 13%, respectively, of our total revenues.</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portion of total revenue recognized from customers located outside the United States was 86%, 87% and 85% for fiscal 2014, 2013 and 2012, respectively. Of the revenue recognized from customers outside the United States, we recognized 17%, 34% and 24% from customers in China in fiscal 2014, 2013 and 2012, respectively, and we recognized 65%, 36% and 23% from customers in India for fiscal 2014, 2013 and 2012, respectively. For additional financial information, see the notes to consolidated financial statements included herein, including Note 17, “Business Segment and Geographic Information”.</w:t>
      </w:r>
    </w:p>
    <w:p>
      <w:pPr>
        <w:spacing w:after="0" w:line="15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foreign operations, particularly our operations in China, India and other emerging markets, expose us to a variety of risks. With respect to China, our financial performance may be affected by China’s political, social, and regulatory and economic environment, including the role of the Chinese government in the Chinese economy, Chinese policies toward economic liberalization, and laws and policies affecting foreign companies, currency exchange rates and other matters. For a discussion of additional risks associated with our foreign operations, see Item 1A, “Risk Factors – We have operations in and that depend on sales in emerging markets, including China and India, and global conditions could negatively affect our operating results or limit our ability to expand our operations outside of these countries. Changes in China’s or India’s political, social, regulatory and economic environment may affect our financial performance.”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had backlog at March 31, 2015 of approximately $40.7 million from government and commercial customers, compared to $34.7 million at March 31, 2014. Current backlog represents the value of contracts and purchase orders received for which delivery is expected during the next twelve months based on contractually agreed-upon terms. The year over year increase in backlog is driven primarily by the larger orders received from Inox in fiscal 2014, as well as stronger orders recently for our D-VAR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Wind</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face competition from companies offering power electronic converters for use in applications for which we expect to sell our PowerModule products. These companies include ABB, Hopewind, Semikron, Shinergy, Vacon, and Xantrex (a subsidiary of Schneider Electric).</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face competition from companies offering various types of wind turbine electrical system components, which include ABB, Ingeteam, Mita-Teknik and Woodward. We also face indirect competition in the wind energy market from global manufacturers of wind turbines, such as Gamesa, General Electric, Suzlon, and Vestas.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face competition for the supply of wind turbine engineering design services from design engineering firms such as GL Garrad Hassan, and from licensors of wind turbine systems such as Aerodyn.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Grid</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face competition from other companies offering FACTS systems similar to our D-VAR solutions. These include static var compensators (“SVCs”) from ABB, Alstom, AREVA, Mitsubishi Electric, and Siemens; adaptive VAR compensators and STATCOMs produced by ABB, Siemens, and S&amp;C Electric; Dynamic voltage restorers (“DVRs”) produced by companies such as ABB and S&amp;C Electric; and flywheels and battery-based uninterruptable power supply (“UPS”) systems offered by various companies around the world.</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face competition both from suppliers of traditional utility solutions and from companies who are developing HTS wires. We also face competition for our Amperium wire from a number of companies in the United States and abroad. These include MetOx, Superconductor Technologies and Superpower (a subsidiary of Furukawa) in the United States; Fujikura and Sumitomo in Japan; SuNAM in South Korea; and Bruker, Deutsche Nanoschicht GmbH, and Theva GmbH, in Europe; Innova and Shanghai Creative Superconductor in China; and SuperOx in Russia. With our HTS-based REG product, we are offering a new approach that provides alternatives to utilities for power system design. Therefore, we believe that we compete with traditional approaches such as new full sized substations, overhead and underground transmission, and urban power transformers.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we are currently the only company that can offer HTS based SPS products that have been fully qualified for use aboard Navy surface combatants. Therefore, the primary competition for our SPS products is currently coming from defense contractors that provide the copper-based systems that our lighter, more efficient HTS versions have been developed to replace. Companies such as L3, Excelis, Raytheon and Textron have the bulk of the copper-based business today. However, over time, as the HTS SPS proliferate to the fleet, companies that have the capability to manufacture and/or package HTS wire into robust, turn-key systems will likely attempt to duplicate our products, and thus additional competition is expected from more traditional HTS competitors such as those listed above.</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As of March 31, 2015, we owned (either solely or jointly) 98 U.S. patents and 7 U.S. patent applications on file. We also hold licenses from third parties covering more than 80 issued U.S. patents and patent applications. Together with the international counterparts of each of these patents and patent applications, we own more than 390 patents and patent applications worldwide, and have rights through exclusive and non-exclusive licenses to more than 220 additional patents and patent applications. We believe that our current patent position, together with our expected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jc w:val="both"/>
        <w:ind w:firstLine="518"/>
        <w:spacing w:after="0" w:line="288"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applications as necessary. If companies 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related to HTS wire from a number of such organizations with royalties we consider reasonable. Based on historical experience, we expect that we will be able to obtain other necessary licenses on commercially reasonable terms. However, we cannot provide any assurance that we will be able to obtain all necessary licenses from competitors on commercially reasonable terms, or at all.</w:t>
      </w:r>
    </w:p>
    <w:p>
      <w:pPr>
        <w:spacing w:after="0" w:line="16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 U.S. patent owned by the University of Tennessee/Battelle, which is used in the substrate and buffer layer process of our HTS wire, and is non-exclusively licensed to AMSC, expires in fiscal year 2015. However, there are multiple foreign counter-part patents which continue to be exclusively licensed to AMSC and do not expire until fiscal year 2016.</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Wind and Grid Patents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received patents and filed a significant number of additional patent applications on power quality and reliability systems, including our D-VAR system. Our products are covered by more than 60 patents and patents pending worldwide on both our systems and power converter products. The patents and applications focus on inventions that significantly improve product performance and reduce product costs, thereby providing a competitive advantage. One invention of note allows for a reduction in the number of power inverters required in the system by optimally running the inverters in overload mode, thereby significantly reducing overall system costs. Another important invention uses inverters to offset transients due to capacitor bank switching, which provides improved system performance.</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Under our Windtec Solutions</w:t>
      </w:r>
      <w:r>
        <w:rPr>
          <w:rFonts w:ascii="Arial" w:cs="Arial" w:eastAsia="Arial" w:hAnsi="Arial"/>
          <w:sz w:val="14"/>
          <w:szCs w:val="14"/>
          <w:color w:val="auto"/>
        </w:rPr>
        <w:t>TM</w:t>
      </w:r>
      <w:r>
        <w:rPr>
          <w:rFonts w:ascii="Arial" w:cs="Arial" w:eastAsia="Arial" w:hAnsi="Arial"/>
          <w:sz w:val="17"/>
          <w:szCs w:val="17"/>
          <w:color w:val="auto"/>
        </w:rPr>
        <w:t xml:space="preserve"> brand, we design a variety of wind turbine systems and license these designs, including expertise and patent rights, to third parties for an upfront fee, plus in some cases, future royalties. Our wind turbine designs are covered by more than 35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1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recognize the importance of IP protection in China and believe that China is steadily moving toward recognizing and acting in accordance with international norms for IP. As such, we have incorporated China in our patent strategy for all of our various products. Nevertheless, we recognize that the risk of IP piracy is still higher in China than in most other industrialized countries, and so we are careful to limit the technology we provide through our product sales and other expansion plans in China. While we take the steps necessary to ensure the safety of our IP, we cannot provide any assurance that these measures will be fully successful. For example, see Part I, Item 3, “Legal Proceedings,” for more information regarding legal proceedings that we have undertaken against Sinovel Wind Group Co., Ltd (“Sinovel”) alleging the illegal use of our intellectual property.</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HTS Patents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have acquired exclusive rights (through 2017) to a fundamental U.S. patent (U.S. 8,060,169 B1) covering 2G and similar HTS wire and applications. However, we may have to obtain additional licenses to HTS materials.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518"/>
        <w:spacing w:after="0" w:line="233" w:lineRule="auto"/>
        <w:rPr>
          <w:sz w:val="20"/>
          <w:szCs w:val="20"/>
          <w:color w:val="auto"/>
        </w:rPr>
      </w:pPr>
      <w:r>
        <w:rPr>
          <w:rFonts w:ascii="Arial" w:cs="Arial" w:eastAsia="Arial" w:hAnsi="Arial"/>
          <w:sz w:val="18"/>
          <w:szCs w:val="18"/>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(ii) Alcatel-Lucent on the YBCO material, and (iii) the University of Tennessee/Battelle for the RABiTS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process we use for the substrate and buffer layers for this technology. If alternative processes become more promising in the future, we also expect to seek to develop a proprietary position in these alternative processes.</w:t>
      </w:r>
    </w:p>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a significant number of patents and patents pending covering applications of HTS wire, such as HTS fault current limiting technology including our fault current limiting cable, HTS rotating machines and ship protection systems. Since the superconductor rotating machine and the fault current limiting cable applications are relatively new, we are building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For example, see Part I, Item 3, “Legal Proceedings,” for more information regarding legal proceedings that we have filed against Sinovel alleging the illegal use of our intellectual property. In addition, we cannot provide any assurance that others, including our competitors, will not independently develop the same or comparable technology that is one of our trade secrets.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As of March 31, 2015, we employed 318 persons. None of our employees are represented by a labor union. Retaining our key employees is important for achieving our goals, and we are committed to developing a working environment that motivates and rewards our employees.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response to the abrupt change in our business due to the situation with Sinovel, since May 2011 we have undertaken several restructuring actions over the past several years in order to reorganize global operations, streamline various functions of the business and reduce our global workforce to match the demand for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March 24, 2015, we filed a Certificate of Amendment to our Restated Certificate of Incorporation with the Secretary of State of the State of Delaware effecting a one-for-ten reverse stock split of our common stock. The Certificate of Amendment also decreased the number of authorized shares of our common stock from 150,000,000 shares to 75,000,000 shares, but did not change the par value of our common stock. Unless otherwise indicated, all historical references to shares of common stock, shares of restricted stock, restricted units, shares underlying options, warrants or calculations that use common stock for per share financial reporting have been adjusted for comparative purposes to reflect the impact of the 1-for-10 reverse stock split as if it had occurred at the beginning of the earliest period presented.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file reports, proxy statements and other documents with the Securities and Exchange Commission (the “SEC”). You may read and copy any document we file at the SEC Headquarters at Office of Investor Education and Assistance, 100 F Street, NE, Washington, D.C. 20549. You should call 1-800-SEC-0330 for more information on the public reference room. Our SEC filings are also available to you on the SEC’s Internet site at www.sec.gov.</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document. We make available, free of charge, through our web 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right="20" w:firstLine="518"/>
        <w:spacing w:after="0" w:line="277" w:lineRule="auto"/>
        <w:rPr>
          <w:sz w:val="20"/>
          <w:szCs w:val="20"/>
          <w:color w:val="auto"/>
        </w:rPr>
      </w:pPr>
      <w:r>
        <w:rPr>
          <w:rFonts w:ascii="Arial" w:cs="Arial" w:eastAsia="Arial" w:hAnsi="Arial"/>
          <w:sz w:val="18"/>
          <w:szCs w:val="18"/>
          <w:color w:val="auto"/>
        </w:rPr>
        <w:t>We intend to disclose on our website any amendments to, or waivers of, our Code of Business Conduct and Ethics that are required to be disclosed pursuant to the SEC or Nasdaq rules.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and biographical summaries set forth below contain information with respect to our executive officers as of the date of this filing:</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40" w:type="dxa"/>
            <w:vAlign w:val="bottom"/>
          </w:tcPr>
          <w:p>
            <w:pPr>
              <w:spacing w:after="0"/>
              <w:rPr>
                <w:sz w:val="14"/>
                <w:szCs w:val="14"/>
                <w:color w:val="auto"/>
              </w:rPr>
            </w:pPr>
          </w:p>
        </w:tc>
        <w:tc>
          <w:tcPr>
            <w:tcW w:w="6340" w:type="dxa"/>
            <w:vAlign w:val="bottom"/>
          </w:tcPr>
          <w:p>
            <w:pPr>
              <w:ind w:left="2920"/>
              <w:spacing w:after="0"/>
              <w:rPr>
                <w:sz w:val="20"/>
                <w:szCs w:val="20"/>
                <w:color w:val="auto"/>
              </w:rPr>
            </w:pPr>
            <w:r>
              <w:rPr>
                <w:rFonts w:ascii="Arial" w:cs="Arial" w:eastAsia="Arial" w:hAnsi="Arial"/>
                <w:sz w:val="14"/>
                <w:szCs w:val="14"/>
                <w:b w:val="1"/>
                <w:bCs w:val="1"/>
                <w:color w:val="auto"/>
              </w:rPr>
              <w:t>Position</w:t>
            </w:r>
          </w:p>
        </w:tc>
      </w:tr>
      <w:tr>
        <w:trPr>
          <w:trHeight w:val="222"/>
        </w:trPr>
        <w:tc>
          <w:tcPr>
            <w:tcW w:w="20" w:type="dxa"/>
            <w:vAlign w:val="bottom"/>
          </w:tcPr>
          <w:p>
            <w:pPr>
              <w:spacing w:after="0"/>
              <w:rPr>
                <w:sz w:val="19"/>
                <w:szCs w:val="19"/>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McGahn</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David A. Henry</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James F. Maguire</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Operations</w:t>
            </w:r>
          </w:p>
        </w:tc>
      </w:tr>
    </w:tbl>
    <w:p>
      <w:pPr>
        <w:spacing w:after="0" w:line="20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i w:val="1"/>
          <w:iCs w:val="1"/>
          <w:color w:val="auto"/>
        </w:rPr>
        <w:t xml:space="preserve">Daniel P. McGahn </w:t>
      </w:r>
      <w:r>
        <w:rPr>
          <w:rFonts w:ascii="Arial" w:cs="Arial" w:eastAsia="Arial" w:hAnsi="Arial"/>
          <w:sz w:val="17"/>
          <w:szCs w:val="17"/>
          <w:color w:val="auto"/>
        </w:rPr>
        <w:t>joined us in December 2006 and has been chief executive officer and a member of our board of directors since June 2011.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and chief operating officer from December 2009 to June 2011, as senior vice president and general manager of our AMSC Superconductors business unit from April 2008 until December 2009, as vice president of our AMSC 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 xml:space="preserve">David A. Henry </w:t>
      </w:r>
      <w:r>
        <w:rPr>
          <w:rFonts w:ascii="Arial" w:cs="Arial" w:eastAsia="Arial" w:hAnsi="Arial"/>
          <w:sz w:val="16"/>
          <w:szCs w:val="16"/>
          <w:color w:val="auto"/>
        </w:rPr>
        <w:t>joined us in July 2007 and has been executive vice president, chief financial officer, and treasurer since May 2014, and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senior vice president, chief financial officer, and treasurer from July 2007 to May 2014. He previously served as chief financial officer of AMIS Holdings, Inc., the parent 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at Fairchild Semiconductor International in August 1999.</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 xml:space="preserve">James F. Maguire </w:t>
      </w:r>
      <w:r>
        <w:rPr>
          <w:rFonts w:ascii="Arial" w:cs="Arial" w:eastAsia="Arial" w:hAnsi="Arial"/>
          <w:sz w:val="18"/>
          <w:szCs w:val="18"/>
          <w:color w:val="auto"/>
        </w:rPr>
        <w:t>joined us in 1997 and has been executive vice president, operations since May 2013 and is responsible for overseeing AMSC’s</w:t>
      </w:r>
      <w:r>
        <w:rPr>
          <w:rFonts w:ascii="Arial" w:cs="Arial" w:eastAsia="Arial" w:hAnsi="Arial"/>
          <w:sz w:val="18"/>
          <w:szCs w:val="18"/>
          <w:i w:val="1"/>
          <w:iCs w:val="1"/>
          <w:color w:val="auto"/>
        </w:rPr>
        <w:t xml:space="preserve"> </w:t>
      </w:r>
      <w:r>
        <w:rPr>
          <w:rFonts w:ascii="Arial" w:cs="Arial" w:eastAsia="Arial" w:hAnsi="Arial"/>
          <w:sz w:val="18"/>
          <w:szCs w:val="18"/>
          <w:color w:val="auto"/>
        </w:rPr>
        <w:t>Wind and Grid business units as well as AMSC’s global supply chain</w:t>
      </w:r>
      <w:r>
        <w:rPr>
          <w:rFonts w:ascii="Arial" w:cs="Arial" w:eastAsia="Arial" w:hAnsi="Arial"/>
          <w:sz w:val="18"/>
          <w:szCs w:val="18"/>
          <w:i w:val="1"/>
          <w:iCs w:val="1"/>
          <w:color w:val="auto"/>
        </w:rPr>
        <w:t>.</w:t>
      </w:r>
      <w:r>
        <w:rPr>
          <w:rFonts w:ascii="Arial" w:cs="Arial" w:eastAsia="Arial" w:hAnsi="Arial"/>
          <w:sz w:val="18"/>
          <w:szCs w:val="18"/>
          <w:color w:val="auto"/>
        </w:rPr>
        <w:t xml:space="preserve"> He previously served as executive vice president, Gridtec Solutions from August 2011 to May 2013, as senior vice president, projects and engineering, from April 2010 to August 2011 and vice president, superconductor projects, from March 2007 to April 2010. Prior to joining AMSC, Mr. Maguire was founder and president of Applied Engineering Technologies, Ltd., a cryogenics product-based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w:t>
      </w:r>
    </w:p>
    <w:p>
      <w:pPr>
        <w:spacing w:after="0" w:line="12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which may continue in the future. Our operating results may fluctuate significantly from quarter to quarter and may fall below expectations in any particular fiscal quarter.</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recorded net losses in each of the last three fiscal years, including a net loss of $48.7 million for the fiscal year ended March 31, 2015, and we are unlikely to be profitable in fiscal 2015. We cannot be certain that we will regain profitability in the future.</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There is currently substantial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If our revenue or operating results fall below the expectations of investors or any securities analysts that follow our company in any period, the trading price of our common stock would likely decline.</w:t>
      </w:r>
    </w:p>
    <w:p>
      <w:pPr>
        <w:spacing w:after="0" w:line="17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a history of negative operating cash flows, and we may require additional financing in the future, which may not be available to us.</w:t>
      </w:r>
    </w:p>
    <w:p>
      <w:pPr>
        <w:spacing w:after="0" w:line="14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As of March 31, 2015, we had approximately $24.5 million of cash, cash equivalents, and restricted cash, and during the fiscal year ended March 31, 2015, we used $32.7 million in cash for our operating activities, which includes approximately $8.4 million for the payment of an arbitration award to a former customer. We have experienced substantial net losses, including a net loss of $48.7 million for the fiscal year ended March 31, 2015. From April 1, 2011 through March 31, 2015, our various restructuring activities resulted in a substantial reduction of our global workforce. We plan to continue to closely monitor our expenses and if required, will further reduce operating costs and capital spending to enhance liquidity.</w:t>
      </w:r>
    </w:p>
    <w:p>
      <w:pPr>
        <w:spacing w:after="0" w:line="1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June 5, 2012, we entered into a senior secured term loan, or Term Loan, under which we borrowed $10.0 million. On November 15, 2013, we amended our Term Loan and entered into a new term loan, or the New Term Loan B, borrowing an additional $10.0 million. On December 19, 2014, we entered into a second amendment, or the New Term Loan C, for an additional $1.5 million. We refer to the Term Loan, New Term Loan B and New Term Loan C collectively as the Term Loans. As of March 31, 2015 we have $8.2 million outstanding on the Term Loans. The Term Loan was paid in full on December 1, 2014. Additionally on April 29, 2015, we closed on an equity financing which raised net proceeds of $22.3 million, after deducting underwriting discounts and commissions and estimated offering expenses payable by us.</w:t>
      </w:r>
    </w:p>
    <w:p>
      <w:pPr>
        <w:spacing w:after="0" w:line="19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liquidity is highly dependent on our ability to profitably grow our revenues, control our operating costs, fund monthly obligations under the Term Loans and secure additional financing if required. We may require additional capital to adequately respond to future business challenges or opportunities, including, but not limited to, the need to develop new products or enhance existing products, maintaining or expanding research and development projects, and the need to build inventory or to invest other cash to support business growth. In the event that additional liquidity is required, there can be no assurance that such financing would be available or, if available, that such financing could be obtained upon terms acceptable to us.</w:t>
      </w:r>
    </w:p>
    <w:p>
      <w:pPr>
        <w:spacing w:after="0" w:line="266"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Our Term Loans include certain covenants and other events of default. Should we not comply with these covenants or incur an event of default, we may be required to repay our obligation in cash, which could have an adverse effect on our liquidity.</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Term Loans include certain financial and administrative covenants, including a requirement to maintain a minimum unrestricted U.S. cash balance equal to the lower of $5.0 million or the aggregate outstanding principal balance of the Term Loans. This requirement decreased to the lower of $2.0 million or the aggregate outstanding principal balance of the Term Loans as a result of raising new capital in April 2015. As of March 31, 2015, the minimum threshold was $5.0 million.</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fail to stay in compliance with our covenants or suffer some other event of default under the Term Loans, we may be required to repay the outstanding principal. Should this occur, our liquidity would be adversely impacted.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ind w:left="260"/>
        <w:spacing w:after="0" w:line="277" w:lineRule="auto"/>
        <w:rPr>
          <w:sz w:val="20"/>
          <w:szCs w:val="20"/>
          <w:color w:val="auto"/>
        </w:rPr>
      </w:pPr>
      <w:r>
        <w:rPr>
          <w:rFonts w:ascii="Arial" w:cs="Arial" w:eastAsia="Arial" w:hAnsi="Arial"/>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of significant magnitude and some of our suppliers have asked us to provide letters of credit. In many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exchange rates could adversely affect our results from operations.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Currency exchange rate fluctuations could have an adverse effect on our revenues and results of operations, and we could experience losses with respect to hedging activities. In fiscal 2014, 86% of our revenues were recognized from sales outside the United States. In addition, approximately 61% of our revenues in fiscal 2014 were derived under sales contracts where prices were denominated in the Euro. Recently, the Euro has weakened substantially against the U.S. dollar. Unfavorable currency fluctuations could require us to increase prices to foreign customers, which could result in a lesser number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From time to time, we enter into derivative instruments, including forward foreign exchange contracts and currency options to reduce currency exposure arising from intercompany sales of inventory and exposures arising from the sale of products denominated in one currency while costs are denominated in another. However, we cannot be certain that our efforts will be adequate to protect us against significant currency fluctuations or that such efforts will not expose us to additional exchange rate risks.</w:t>
      </w:r>
    </w:p>
    <w:p>
      <w:pPr>
        <w:spacing w:after="0" w:line="29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 and may lead investors and other users to lose confidence in our financial data.</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Maintaining effective internal controls over financial reporting is necessary for us to produce reliable financial statements.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note that a system of procedures and controls, no matter how well conceived and operated, can provide only reasonable, not absolute, assurance that the objectives of the control system are met. Because of the inherent limitations in all systems of procedures and controls, no evaluation can provide absolute assurance that all control issues, including instances of fraud, if any, have been detected. These inherent limitations include the realities that judgments in decision-making can be faulty, and breakdowns can occur because of simple errors or mistakes. Additionally, procedures and controls can be circumvented by the individual acts of some persons, by collusion of two or more people, or by management override. The design of any system of procedures and controls also is based, in part, upon certain assumptions about the likelihood of future events, and there can be no assurance that any design will succeed in achieving its stated goals under all potential future conditions. Over time, our systems of procedures and controls, as we further develop and enhance them, may become inadequate because of changes in conditions, or the degree of compliance with the policies or procedures may deteriorate. Because of the inherent limitations in a cost-effective system of procedures and controls, misstatements due to errors or fraud may occur and not be detected. Such misstatements could be material and require a restatement of our financial statements.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financial condition may have an adverse effect on our customer and supplier relationships.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continue operating through the term of our warranty obligation. This has had and may continue to have an adverse effect on our ability to grow our revenues. In addition, current and future suppliers may be less likely to grant us credit, resulting in a negative impact on our working capital and cash flows.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in addressing the wind energy market is dependent on the manufacturers that license our designs.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significant portion of our revenues are derived from a single customer.</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largest customer is Inox in India. Inox accounted for 56% of our total revenues during the fiscal year ended March 31, 2015 and 31% of our revenues during the fiscal year ended March 31, 2014. Revenues from Inox are supported by supply contracts for wind turbine electrical control systems. If Inox cancelled such contracts, or discontinued future purchases from us, we would likely be unable to replace the related revenues. This would have a material adverse impact on our operating results and financial position.</w:t>
      </w:r>
    </w:p>
    <w:p>
      <w:pPr>
        <w:spacing w:after="0" w:line="295"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Hiring and retaining good personnel for our business is challenging, and highly qualified technical personnel are likely to remain a limited resource for the foreseeable future despite current economic conditions and high unemployment levels.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Over the past several years, we have substantially reduced our global workforce in order to lower expenses, reorganize our global operations, and streamline various functions of the business, to match the demand for our products. Employee retention may be a particularly challenging issue following reductions in workforce and organizational changes since we also must continue to motivate employees and keep them focused on our strategies and goals. If we lose any key personnel, we may not be able to find qualified individuals to replace them, and our business, results of operations and financial condition could be materially adversely affected.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realize all of the sales expected from our backlog of orders and contracts.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cannot assure you that we will realize the revenue we expect to generate from our backlog in the periods we expect to realize such revenue, or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88"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b w:val="1"/>
          <w:bCs w:val="1"/>
          <w:i w:val="1"/>
          <w:iCs w:val="1"/>
          <w:color w:val="auto"/>
        </w:rPr>
        <w:t>Our business and operations would be adversely impacted in the event of a failure or security breach of our information technology infrastructure.</w:t>
      </w:r>
    </w:p>
    <w:p>
      <w:pPr>
        <w:spacing w:after="0" w:line="14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rely upon the capacity, reliability, and security of our information technology hardware and software infrastructure and our ability to expand and update this infrastructure in response to our changing needs. We are constantly updating our information technology infrastructure. Any failure to manage, expand, and update our information technology infrastructure or any failure in the operation of this infrastructure could harm our business.</w:t>
      </w:r>
    </w:p>
    <w:p>
      <w:pPr>
        <w:spacing w:after="0" w:line="166"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Despite our implementation of security measures, our systems are vulnerable to damages from computer viruses, natural disasters, unauthorized access and other similar disruptions. Our business is also subject to break-ins, sabotage, and intentional acts of vandalism by third parties as well as employees. Our significant business activities in China may increase our risks to such breaches. For example, a former employee of our Austrian subsidiary pled guilty in September 2011 to charges of economic espionage and fraudulent manipulation of data. The evidence presented during the trial showed that this former employee was contracted by Sinovel through an intermediary while employed by us and improperly obtained and transferred to Sinovel portions of our wind turbine control software source code developed for Sinovel’s 1.5MW wind turbines. Moreover, the evidence shows that this former employee illegally used source code to develop, for Sinovel, a software modification to circumvent the encryption and remove technical protection measures on the PM3000 power converters in 1.5MW wind turbines in the field. Any system failure, accident, or security breach could result in disruptions to our operations. To the extent that any disruption or security breach results in a loss or damage to our data, or inappropriate disclosure of confidential information, it could harm our business. In addition, we may be required to incur significant costs to protect against damage caused by these disruptions or security breaches in the future.</w:t>
      </w:r>
    </w:p>
    <w:p>
      <w:pPr>
        <w:spacing w:after="0" w:line="277" w:lineRule="exact"/>
        <w:rPr>
          <w:sz w:val="20"/>
          <w:szCs w:val="20"/>
          <w:color w:val="auto"/>
        </w:rPr>
      </w:pPr>
    </w:p>
    <w:p>
      <w:pPr>
        <w:jc w:val="both"/>
        <w:ind w:firstLine="290"/>
        <w:spacing w:after="0" w:line="277" w:lineRule="auto"/>
        <w:rPr>
          <w:sz w:val="20"/>
          <w:szCs w:val="20"/>
          <w:color w:val="auto"/>
        </w:rPr>
      </w:pPr>
      <w:r>
        <w:rPr>
          <w:rFonts w:ascii="Arial" w:cs="Arial" w:eastAsia="Arial" w:hAnsi="Arial"/>
          <w:sz w:val="18"/>
          <w:szCs w:val="18"/>
          <w:b w:val="1"/>
          <w:bCs w:val="1"/>
          <w:i w:val="1"/>
          <w:iCs w:val="1"/>
          <w:color w:val="auto"/>
        </w:rPr>
        <w:t>We may not be able to ramp up production at our new manufacturing facility in Romania, and, if we are able to do so, we may have manufacturing quality issues, which would negatively affect our revenues and financial position</w:t>
      </w:r>
      <w:r>
        <w:rPr>
          <w:rFonts w:ascii="Arial" w:cs="Arial" w:eastAsia="Arial" w:hAnsi="Arial"/>
          <w:sz w:val="18"/>
          <w:szCs w:val="18"/>
          <w:color w:val="auto"/>
        </w:rPr>
        <w:t>.</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have leased a manufacturing facility in Timisoara, Romania, where we manufacture wind turbine electrical control systems for all other markets apart from the Chinese market. Increasing production in a new manufacturing facility entails a number of risks, including the risk that we may not be able to successfully ramp up production due to unforeseen events such as a shortage in cash flow, quality issues, or inability to hire qualified personnel. Even if we are able to successfully increase production at our new Romanian facility, we may not be able to do so within the cost and timeframe we anticipate and without impacting operating efficiency. Additionally, we cannot guarantee that the employees we hire to work in our Romanian plant will be able to produce a product that meets our customers’ quality standards. If we experience delays or increased costs, cannot produce a high quality product, or other unforeseen events occur, our business, financial condition and results of operations could be adversely affected.</w:t>
      </w:r>
    </w:p>
    <w:p>
      <w:pPr>
        <w:spacing w:after="0" w:line="275"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rely upon third-party suppliers for the components and subassemblies of many of our Wind and Grid products, making us vulnerable to supply shortages and price fluctuations, which could harm our business.</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14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are producing certain Wind products in our manufacturing facilities in China and Romania. In order to minimize costs and time to market, we have and will continue to identify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Many of our revenue opportunities are dependent upon subcontractors and other business collaborators.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financial performance could be harmed.</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products, pursuing overseas markets, anticipating customer needs in the development of system-level solutions, strengthening our technology leadership while lowering cost and pursuing targeted strategic alliances.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ability to implement our business strategy could also be affected by a number of factors beyond our control, such as increased competition, legal developments, government regulation, general economic conditions, or increased operating costs or expenses.</w:t>
      </w:r>
    </w:p>
    <w:p>
      <w:pPr>
        <w:spacing w:after="0" w:line="279"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Consistent with customary practice in our industry, we warrant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Furthermore, widespread product failures may damage our market reputation and reduce our market share and cause sales to decline.</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Regulations related to conflict-free minerals may force us to incur significant additional expenses.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transparency and accountability concerning the supply of minerals originating from the conflict zones of the Democratic Republic of Congo, or DRC, and adjoining countries. As a result, in August 2012 the SEC established annual disclosure and reporting requirements for those companies who use “conflict” minerals mined from the DRC and adjoining countries, which directly or indirectly finance or benefit armed groups in the DRC or an adjoining country, in their products. These requirements require on-going due diligence efforts and could affect the sourcing and availability of minerals used in the manufacture of our products. As a result, we may not be able to obtain materials at competitive prices and there has been significant effort associated with completing the due diligence procedures that satisfy this regulation. In addition, as our supply chain is complex, we may face reputational challenges with our customers and other stakeholders if we are unable to sufficiently verify the origins of all minerals used in our products through the due diligence procedures that we implement, and we may incur additional costs as a result of changes to product, processes or sources of supply as a consequence of these new requirements.</w:t>
      </w:r>
    </w:p>
    <w:p>
      <w:pPr>
        <w:spacing w:after="0" w:line="27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62" w:lineRule="exact"/>
        <w:rPr>
          <w:sz w:val="20"/>
          <w:szCs w:val="20"/>
          <w:color w:val="auto"/>
        </w:rPr>
      </w:pPr>
    </w:p>
    <w:p>
      <w:pPr>
        <w:ind w:left="1020" w:hanging="35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certain rights to the intellectual property that we develop under the contract;</w:t>
      </w:r>
    </w:p>
    <w:p>
      <w:pPr>
        <w:spacing w:after="0" w:line="117" w:lineRule="exact"/>
        <w:rPr>
          <w:rFonts w:ascii="Arial" w:cs="Arial" w:eastAsia="Arial" w:hAnsi="Arial"/>
          <w:sz w:val="18"/>
          <w:szCs w:val="18"/>
          <w:color w:val="auto"/>
        </w:rPr>
      </w:pPr>
    </w:p>
    <w:p>
      <w:pPr>
        <w:ind w:left="1020" w:right="20" w:hanging="35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debar us from doing business with the government or a specific government agency;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ind w:left="1020" w:right="20" w:hanging="35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False Statements Act and similar remedy provisions unique to government contracting.</w:t>
      </w:r>
    </w:p>
    <w:p>
      <w:pPr>
        <w:spacing w:after="0" w:line="17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All of our U.S. government contracts can be terminated by the U.S. government for its convenience, including our contract with the Department of Homeland Security (“DHS”) to deploy our REG system in Commonwealth Edison’s (“ComEd”) electric grid in Chicago, Illinois (“Project REG”). Moving to the manufacturing and construction stage of Project REG is dependent upon both DHS and ComEd agreeing to proceed following the successful completion of a detailed deployment plan. We can provide no assurance that DHS and ComEd will agree to proceed with the project. Termination-for-convenience provisions typically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w:t>
      </w:r>
    </w:p>
    <w:p>
      <w:pPr>
        <w:spacing w:after="0" w:line="19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cannot be certain that our U.S. government contracts, including our contract for Project REG,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29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Many of our customers outside of the United States, particularly in China, are either directly or indirectly, related to governmental entities, and we could be adversely affected by violations of the United States Foreign Corrupt Practices Act and similar worldwide anti-bribery laws outside the United States.</w:t>
      </w:r>
    </w:p>
    <w:p>
      <w:pPr>
        <w:spacing w:after="0" w:line="7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286"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have had limited success marketing and selling our superconductor products and system-level solutions, and our failure to more broadly market and sell our products and solutions could lower our revenue and cash flow.</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To date, we have had limited success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technology and we may not be able to establish an effective sales and distribution organization.</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are dependent on the efforts of others.</w:t>
      </w:r>
    </w:p>
    <w:p>
      <w:pPr>
        <w:spacing w:after="0" w:line="289"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prior acquisitions required substantial integration and management efforts. As a result of any acquisition we pursue, management’s attention and resources may be diverted from our other businesses. An acquisition may also involve the payment of a significant purchase price, which could reduce our cash position or dilute our stockholders, and require significant transaction-related expenses.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117" w:lineRule="exact"/>
        <w:rPr>
          <w:sz w:val="20"/>
          <w:szCs w:val="20"/>
          <w:color w:val="auto"/>
        </w:rPr>
      </w:pPr>
    </w:p>
    <w:p>
      <w:pPr>
        <w:ind w:left="5620" w:right="5260" w:hanging="4958"/>
        <w:spacing w:after="0" w:line="624" w:lineRule="auto"/>
        <w:tabs>
          <w:tab w:leader="none" w:pos="10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difficulty assimilating acquired operations, technologies and personnel; 19</w:t>
      </w:r>
    </w:p>
    <w:p>
      <w:pPr>
        <w:sectPr>
          <w:pgSz w:w="11900" w:h="16838" w:orient="portrait"/>
          <w:cols w:equalWidth="0" w:num="1">
            <w:col w:w="11420"/>
          </w:cols>
          <w:pgMar w:left="240" w:top="476" w:right="239" w:bottom="1440" w:gutter="0" w:footer="0" w:header="0"/>
        </w:sectPr>
      </w:pPr>
    </w:p>
    <w:bookmarkStart w:id="19" w:name="page20"/>
    <w:bookmarkEnd w:id="19"/>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management or other key personnel that may harm relationships with the acquired business’s customers and employees;</w:t>
      </w:r>
    </w:p>
    <w:p>
      <w:pPr>
        <w:spacing w:after="0" w:line="128" w:lineRule="exact"/>
        <w:rPr>
          <w:rFonts w:ascii="Arial" w:cs="Arial" w:eastAsia="Arial" w:hAnsi="Arial"/>
          <w:sz w:val="17"/>
          <w:szCs w:val="17"/>
          <w:color w:val="auto"/>
        </w:rPr>
      </w:pPr>
    </w:p>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liabilities of the acquired business;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and employees’ attention from other business matters as a result of the integration process;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mistaken assumptions about volumes, revenue and costs, including synergies;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 used to finance the acquisition;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difficulties operating in new product areas, with new customers, or in new geographic areas.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cannot provide any assurance that we will realize any of the anticipated benefits of any acquisition, and if we fail to realize these anticipated benefits, our operating performance could suffer.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Markets</w:t>
      </w:r>
    </w:p>
    <w:p>
      <w:pPr>
        <w:spacing w:after="0" w:line="121"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Our success depends upon the commercial use of high temperature superconductor (HTS) products, which is currently limited, and a widespread commercial market for our products may not develop.</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use superconductor cables and products in their projects.</w:t>
      </w:r>
    </w:p>
    <w:p>
      <w:pPr>
        <w:spacing w:after="0" w:line="17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w:t>
      </w:r>
    </w:p>
    <w:p>
      <w:pPr>
        <w:spacing w:after="0" w:line="170"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It is possible that the market demands we currently anticipate for our HTS products will not develop and that they will never achieve widespread commercial acceptance. In such event, we would not be able to implement our strategy, and our profits could be reduced or eliminated.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Growth of the wind energy market depends largely on the availability and size of government subsidies and economic incentives.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0" w:name="page21"/>
    <w:bookmarkEnd w:id="20"/>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We have operations in and depend on sales in emerging markets, including India and China, and global conditions could negatively affect our operating results or limit our ability to expand our operations outside of these countries. Changes in India’s or China’s political, social, regulatory and economic environment may affect our financial performance.</w:t>
      </w:r>
    </w:p>
    <w:p>
      <w:pPr>
        <w:spacing w:after="0" w:line="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have operations in India and China and, in recent years, a significant portion of our total revenues has been derived from customers in these markets. Our financial performance depends upon our ability to carry on our operations and market our products in these countries,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With respect to China in particular, our financial performance may be affected by changes in China’s political, social, regulatory and economic environment. For example, new grid interconnection standards are being imposed in China, which slowed the wind turbine installation growth rate in prior years. Such changes mean the Chinese wind market will be subject to substantial uncertainty, which may cause our customers to delay or cancel orders.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role of the Chinese central and local governments in the Chinese economy is significant. For example, the economy of the People’s Republic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China differs from the economies of most developed countries in many respects, including the:</w:t>
      </w:r>
    </w:p>
    <w:p>
      <w:pPr>
        <w:spacing w:after="0" w:line="103" w:lineRule="exact"/>
        <w:rPr>
          <w:sz w:val="20"/>
          <w:szCs w:val="20"/>
          <w:color w:val="auto"/>
        </w:rPr>
      </w:pPr>
    </w:p>
    <w:p>
      <w:pPr>
        <w:ind w:left="1020" w:hanging="35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level of government involvement;</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early stage of development of the market-oriented sector of the economy;</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rapid growth rate;</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level of control over foreign exchange;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influence over the allocation of resources.</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Chinese policies toward economic liberalization, and laws and policies affecting foreign companies, currency exchange rates and other matters could change, resulting in greater restrictions on our ability to do business in China. Any imposition of surcharges or any increase in Chinese tax rates could hurt our operating results. The Chinese government could revoke, terminate or suspend our license for national security and similar reasons without compensation to us. If the government of China were to take any of these actions, we would be prevented from conducting all or part of our business. Any failure on our part to comply with governmental regulations could result in the loss of our ability to market our products in China.</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financial performance could also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 including events in and related to Afghanistan and Iraq.</w:t>
      </w:r>
    </w:p>
    <w:p>
      <w:pPr>
        <w:spacing w:after="0" w:line="18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For instance, the Chinese government has, in the past, restricted lending from banks to companies in China as a means to fight inflation, resulting in a limitation of access to credit. Problems with collections from, or sales to, any one of those customers could reduce our revenue and harm our financial performance. Operations in foreign countries including China also expose us to risks relating to difficulties in enforcing our proprietary rights, currency fluctuations and adverse or deteriorating economic conditions.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Our products face intense competition, which could limit our ability to acquire or retain customers.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markets for our products are intensely competitive and 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Wind business faces competition for the supply of wind turbine engineering design services from design engineering firms such as GL Garrad Hassan, and from licensors of wind turbine systems such as Aerodyn.</w:t>
      </w:r>
    </w:p>
    <w:p>
      <w:pPr>
        <w:spacing w:after="0" w:line="170"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Our Wind business also faces competition from companies offering power electronic converters for use in applications for which we expect to sell our PowerModule products. These companies include ABB, Hopewind, Semikron, Shinergy, Vacon and Xantrex (a subsidiary of Schneider Electric).</w:t>
      </w:r>
    </w:p>
    <w:p>
      <w:pPr>
        <w:spacing w:after="0" w:line="1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Finally, our Wind business faces competition from companies offering wind turbine electrical system components, including ABB, Ingeteam, Mita-Teknik, and Woodward. We also face indirect competition in the wind energy market from global manufacturers of wind energy systems, such as Gamesa, General Electric, Suzlon and Vestas.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Grid business faces competition from companies offering FACTS systems similar to our D-VAR solution. These include SVCs from ABB, Alstom, AREVA, Mitsubishi Electric and Siemens; adaptive VAR compensators and STATCOMs produced by ABB, Siemens, and S&amp;C Electric; dynamic voltage restorers produced by companies such as ABB and S&amp;C Electric; and flywheels and battery-based UPS systems offered by various companies around the world.</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Grid business also faces competition both from suppliers of traditional wires made from materials such as copper and from companies who are developing HTS wires.</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Finally, our Grid business faces competition for our Amperium wire from a number of companies in the United States and abroad who are developing 2G HTS wire technology. These include MetOx, Superconductor Technologies and Superpower (a subsidiary of Furukawa) in the United States; Fujikura, and Sumitomo in Japan; SuNAM in South Korea; and Bruker, Deutsche Nanoschichit GmbH, and Theva GmbH in Europe; Innova and Shanghai Creative Superconductor in China; and SuperOx in Russia. With our HTS-based REG product, we are offering a new approach that provides alternatives to utilities for power system design. Therefore, we believe that we compete with traditional approaches such as new full sized substations, overhead and underground transmission, and urban power transformers.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we are currently the only company that can offer HTS-based Ship Protection Systems (SPS) that have been fully qualified for use aboard Navy surface combatants. Therefore, the primary competition for our SPS products is currently coming from defense contractors that provide the copper-based systems that our lighter, more efficient HTS versions have been developed to replace. Companies such as L3, Excelis, Raytheon and Textron have the bulk of the copper-based business today. However, over time, as the HTS SPS proliferate to the fleet, companies that have the capability to manufacture and/or package HTS wire into robust, turn-key systems will most likely attempt to duplicate our products and thus additional competition is expected from more traditional HTS competitors such as those listed above.</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international operations are subject to risks that we do not face in the United States, which could have an adverse effect on our operating results.</w:t>
      </w:r>
    </w:p>
    <w:p>
      <w:pPr>
        <w:spacing w:after="0" w:line="15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recent years, a substantial majority of our consolidated revenues were recognized from customers outside of the United States. For example, 86% of our revenues in fiscal 2014 and 87% of our revenues in fiscal 2013 were recognized from sales outside the United States. Our international operations are subject to a variety of risks that we do not face in the United States, including:</w:t>
      </w:r>
    </w:p>
    <w:p>
      <w:pPr>
        <w:spacing w:after="0" w:line="73" w:lineRule="exact"/>
        <w:rPr>
          <w:sz w:val="20"/>
          <w:szCs w:val="20"/>
          <w:color w:val="auto"/>
        </w:rPr>
      </w:pPr>
    </w:p>
    <w:p>
      <w:pPr>
        <w:ind w:left="1020" w:hanging="35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117" w:lineRule="exact"/>
        <w:rPr>
          <w:rFonts w:ascii="Arial" w:cs="Arial" w:eastAsia="Arial" w:hAnsi="Arial"/>
          <w:sz w:val="18"/>
          <w:szCs w:val="18"/>
          <w:color w:val="auto"/>
        </w:rPr>
      </w:pPr>
    </w:p>
    <w:p>
      <w:pPr>
        <w:ind w:left="1020" w:right="20" w:hanging="35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62" w:lineRule="exact"/>
        <w:rPr>
          <w:rFonts w:ascii="Arial" w:cs="Arial" w:eastAsia="Arial" w:hAnsi="Arial"/>
          <w:sz w:val="18"/>
          <w:szCs w:val="18"/>
          <w:color w:val="auto"/>
        </w:rPr>
      </w:pPr>
    </w:p>
    <w:p>
      <w:pPr>
        <w:ind w:left="1020" w:right="20" w:hanging="35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ind w:left="1020" w:hanging="35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reducing or eliminating our profits.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Adverse changes in domestic and global economic conditions could adversely affect our operating results.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become increasingly subject to the risks arising from adverse changes in domestic and global economic conditions. In recent years, the state of both the domestic and global economies has been uncertain due to the difficulty in obtaining credit, weak economic recovery, and financial market volatility. Adverse credit conditions in the future could have a negative impact on our ability to execute on future strategic activities. In addition, if credit is difficult to obtain in the future, some customers may delay or reduce purchases. This could result in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6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For example,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On September 13, 2011, we commenced a series of legal actions in China against Sinovel and other parties alleging the illegal use of our intellectual property. We cannot provide any assurance as to the outcome of these legal actions. This or future litigation with Sinovel could result in substantial costs and divert management’s attention and resources, which could have an adverse effect on our business, operating results and financial condition. In addition, such proceedings may make it more difficult to finance our operations. If we are unsuccessful in this litigation and fail to maintain adequate protection of this intellectual property, our competitive business position would be adversely affected. For more information about these legal proceedings, see Part I, Item 3, “Legal Proceedings.”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patents may not provide meaningful protection for our technology, which could result in us losing some or all of our market position.</w:t>
      </w:r>
    </w:p>
    <w:p>
      <w:pPr>
        <w:spacing w:after="0" w:line="12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6" w:lineRule="exact"/>
        <w:rPr>
          <w:sz w:val="20"/>
          <w:szCs w:val="20"/>
          <w:color w:val="auto"/>
        </w:rPr>
      </w:pPr>
    </w:p>
    <w:p>
      <w:pPr>
        <w:ind w:left="1020" w:hanging="35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17" w:lineRule="exact"/>
        <w:rPr>
          <w:rFonts w:ascii="Arial" w:cs="Arial" w:eastAsia="Arial" w:hAnsi="Arial"/>
          <w:sz w:val="18"/>
          <w:szCs w:val="18"/>
          <w:color w:val="auto"/>
        </w:rPr>
      </w:pPr>
    </w:p>
    <w:p>
      <w:pPr>
        <w:ind w:left="1020" w:hanging="358"/>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3" w:name="page24"/>
    <w:bookmarkEnd w:id="23"/>
    <w:p>
      <w:pPr>
        <w:jc w:val="both"/>
        <w:ind w:firstLine="518"/>
        <w:spacing w:after="0" w:line="259"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295"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pacing w:after="0" w:line="301"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273"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6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Our Legal Matters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have filed a demand for arbitration and other lawsuits against our former largest customer, Sinovel, regarding amounts we contend are overdue.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cannot be certain as to the outcome of these proceedings.</w:t>
      </w:r>
    </w:p>
    <w:p>
      <w:pPr>
        <w:spacing w:after="0" w:line="10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On March 31, 2011, Sinovel refused to accept contracted scheduled shipments with a revenue value of approximately $65.2 million. In addition, as of March 31, 2011, we had approximately $62.0 million of receivables (excluding value-added tax) outstanding from Sinovel. We have not received payment from Sinovel for these outstanding receivables that are now past due, nor have we been notified as to when, if ever, they will accept contracted shipments that were scheduled for delivery after March 31, 2011. No payment has been received from Sinovel since early March 2011. Because Sinovel did not give us notice that it intended to delay deliveries as required under the contracts, we believe that these actions constitute material breaches of our contracts. Additionally, we believe that Sinovel illegally obtained and used our intellectual property in violation of civil and criminal intellectual property laws.</w:t>
      </w:r>
    </w:p>
    <w:p>
      <w:pPr>
        <w:spacing w:after="0" w:line="165"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On September 13, 2011, we filed a claim for arbitration against Sinovel in Beijing, China to compel Sinovel to pay us for past product shipments and to accept all contracted but not yet delivered core electrical components and spare parts under all existing contracts with us. In addition, we have filed civil complaints in China against Sinovel alleging the illegal use of our intellectual property. Sinovel has filed counterclaims against us with the Beijing Arbitration Commission for breach of the same contracts under which we filed our original arbitration claim. Sinovel claims, among other things, that the goods supplied by us do not conform to the standards specified in the contracts and has claimed net damages in the amount of approximately RMB 1.2 billion ($190.0 million). Sinovel also filed a claim with the Beijing Arbitration Commission against us for breach of the same contracts under which we filed our original arbitration claim. Sinovel claimed, among other things, that the goods supplied by us do not conform to the standards specified in the contracts and claimed damages in the amount of approximately RMB 105.0 million ($17.0 million). As the legal proceedings continue, we and Sinovel may identify additional amounts in dispute. We cannot provide any assurance as to the outcome of these legal actions or that, if we prevail, we ultimately will be able to collect any amounts awarded. Moreover, these legal proceedings could result in the incurrence of significant legal and related expenses, which may not be recoverable depending on the outcome of the litigation. An award by the arbitration panel or court in favor of Sinovel and/or the incurrence of significant legal fees that are not recoverable could adversely impact our operating results. For more information about these legal proceedings, see Part I, Item 3, “Legal Proceedings.”</w:t>
      </w:r>
    </w:p>
    <w:p>
      <w:pPr>
        <w:spacing w:after="0" w:line="277"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We have been named as a party in various legal proceedings,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w:t>
      </w:r>
    </w:p>
    <w:p>
      <w:pPr>
        <w:spacing w:after="0" w:line="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and may become subject to various legal proceedings and claims that arise in or outside the ordinary course of business. Certain current lawsuits and pending proceedings are described under Part I, Item 3. “Legal Proceedings.”</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results of these lawsuits and future legal proceedings cannot be predicted with certainty. Also,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current or future litigation could have a material adverse effect on our business, operating results or financial condition. Even if the plaintiffs’ claims are not successful, current future litigation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60" w:right="20"/>
        <w:spacing w:after="0" w:line="342" w:lineRule="auto"/>
        <w:rPr>
          <w:sz w:val="20"/>
          <w:szCs w:val="20"/>
          <w:color w:val="auto"/>
        </w:rPr>
      </w:pPr>
      <w:r>
        <w:rPr>
          <w:rFonts w:ascii="Arial" w:cs="Arial" w:eastAsia="Arial" w:hAnsi="Arial"/>
          <w:sz w:val="16"/>
          <w:szCs w:val="16"/>
          <w:b w:val="1"/>
          <w:bCs w:val="1"/>
          <w:i w:val="1"/>
          <w:iCs w:val="1"/>
          <w:color w:val="auto"/>
        </w:rPr>
        <w:t>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w:t>
      </w:r>
    </w:p>
    <w:p>
      <w:pPr>
        <w:spacing w:after="0" w:line="16" w:lineRule="exact"/>
        <w:rPr>
          <w:sz w:val="20"/>
          <w:szCs w:val="20"/>
          <w:color w:val="auto"/>
        </w:rPr>
      </w:pPr>
    </w:p>
    <w:p>
      <w:pPr>
        <w:jc w:val="both"/>
        <w:ind w:firstLine="502"/>
        <w:spacing w:after="0" w:line="288" w:lineRule="auto"/>
        <w:rPr>
          <w:sz w:val="20"/>
          <w:szCs w:val="20"/>
          <w:color w:val="auto"/>
        </w:rPr>
      </w:pPr>
      <w:r>
        <w:rPr>
          <w:rFonts w:ascii="Arial" w:cs="Arial" w:eastAsia="Arial" w:hAnsi="Arial"/>
          <w:sz w:val="16"/>
          <w:szCs w:val="16"/>
          <w:color w:val="auto"/>
        </w:rPr>
        <w:t>The market price of our common stock has historically experienced significant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substantial litigation costs, a damages award against us and the further diversion of our management’s attention.</w:t>
      </w:r>
    </w:p>
    <w:p>
      <w:pPr>
        <w:spacing w:after="0" w:line="31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corporate headquarters, FACTS manufacturing and Amperium wire manufacturing operations are located in a 355,000-square-foot facility owned by us and located in Devens, Massachusetts.</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also occupy leased facilities located in New Berlin, Wisconsin; Suzhou, China; Klagenfurt, Austria; and Timisoara, Romania with a combined total of approximately 272,000 square feet of space. These leases have varying expiration dates through March 2021 which can generally be terminated at our request after a six month advance notice. Our other locations focus primarily on applications engineering, sales and/or field service and do not have significant leases or physical presence. We believe all of these facilities are well-maintained and suitable for their intended uses.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March 31,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ind w:left="20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3000" w:type="dxa"/>
            <w:vAlign w:val="bottom"/>
            <w:gridSpan w:val="2"/>
          </w:tcPr>
          <w:p>
            <w:pPr>
              <w:ind w:left="1080"/>
              <w:spacing w:after="0"/>
              <w:rPr>
                <w:sz w:val="20"/>
                <w:szCs w:val="20"/>
                <w:color w:val="auto"/>
              </w:rPr>
            </w:pPr>
            <w:r>
              <w:rPr>
                <w:rFonts w:ascii="Arial" w:cs="Arial" w:eastAsia="Arial" w:hAnsi="Arial"/>
                <w:sz w:val="14"/>
                <w:szCs w:val="14"/>
                <w:b w:val="1"/>
                <w:bCs w:val="1"/>
                <w:color w:val="auto"/>
              </w:rPr>
              <w:t>Supporting</w:t>
            </w:r>
          </w:p>
        </w:tc>
        <w:tc>
          <w:tcPr>
            <w:tcW w:w="2020" w:type="dxa"/>
            <w:vAlign w:val="bottom"/>
            <w:gridSpan w:val="2"/>
          </w:tcPr>
          <w:p>
            <w:pPr>
              <w:ind w:left="440"/>
              <w:spacing w:after="0"/>
              <w:rPr>
                <w:sz w:val="20"/>
                <w:szCs w:val="20"/>
                <w:color w:val="auto"/>
              </w:rPr>
            </w:pPr>
            <w:r>
              <w:rPr>
                <w:rFonts w:ascii="Arial" w:cs="Arial" w:eastAsia="Arial" w:hAnsi="Arial"/>
                <w:sz w:val="14"/>
                <w:szCs w:val="14"/>
                <w:b w:val="1"/>
                <w:bCs w:val="1"/>
                <w:color w:val="auto"/>
              </w:rPr>
              <w:t>Square footage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Owned/Leased</w:t>
            </w:r>
          </w:p>
        </w:tc>
      </w:tr>
      <w:tr>
        <w:trPr>
          <w:trHeight w:val="237"/>
        </w:trPr>
        <w:tc>
          <w:tcPr>
            <w:tcW w:w="45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20"/>
                <w:szCs w:val="20"/>
                <w:color w:val="auto"/>
              </w:rPr>
            </w:pPr>
          </w:p>
        </w:tc>
        <w:tc>
          <w:tcPr>
            <w:tcW w:w="28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Devens, Massachusetts</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Corporate &amp; Grid Segments</w:t>
            </w:r>
          </w:p>
        </w:tc>
        <w:tc>
          <w:tcPr>
            <w:tcW w:w="1800" w:type="dxa"/>
            <w:vAlign w:val="bottom"/>
          </w:tcPr>
          <w:p>
            <w:pPr>
              <w:jc w:val="center"/>
              <w:ind w:left="13"/>
              <w:spacing w:after="0"/>
              <w:rPr>
                <w:sz w:val="20"/>
                <w:szCs w:val="20"/>
                <w:color w:val="auto"/>
              </w:rPr>
            </w:pPr>
            <w:r>
              <w:rPr>
                <w:rFonts w:ascii="Arial" w:cs="Arial" w:eastAsia="Arial" w:hAnsi="Arial"/>
                <w:sz w:val="18"/>
                <w:szCs w:val="18"/>
                <w:color w:val="auto"/>
                <w:w w:val="89"/>
              </w:rPr>
              <w:t>355,000</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4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New Berlin, Wisconsin</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Wind &amp; Grid Segments</w:t>
            </w:r>
          </w:p>
        </w:tc>
        <w:tc>
          <w:tcPr>
            <w:tcW w:w="1800" w:type="dxa"/>
            <w:vAlign w:val="bottom"/>
          </w:tcPr>
          <w:p>
            <w:pPr>
              <w:jc w:val="center"/>
              <w:ind w:left="13"/>
              <w:spacing w:after="0"/>
              <w:rPr>
                <w:sz w:val="20"/>
                <w:szCs w:val="20"/>
                <w:color w:val="auto"/>
              </w:rPr>
            </w:pPr>
            <w:r>
              <w:rPr>
                <w:rFonts w:ascii="Arial" w:cs="Arial" w:eastAsia="Arial" w:hAnsi="Arial"/>
                <w:sz w:val="18"/>
                <w:szCs w:val="18"/>
                <w:color w:val="auto"/>
                <w:w w:val="90"/>
              </w:rPr>
              <w:t>50,000</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120" w:type="dxa"/>
            <w:vAlign w:val="bottom"/>
            <w:shd w:val="clear" w:color="auto" w:fill="CFF0FC"/>
          </w:tcPr>
          <w:p>
            <w:pPr>
              <w:spacing w:after="0"/>
              <w:rPr>
                <w:sz w:val="21"/>
                <w:szCs w:val="21"/>
                <w:color w:val="auto"/>
              </w:rPr>
            </w:pPr>
          </w:p>
        </w:tc>
        <w:tc>
          <w:tcPr>
            <w:tcW w:w="2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Suzhou</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Wind Segment</w:t>
            </w:r>
          </w:p>
        </w:tc>
        <w:tc>
          <w:tcPr>
            <w:tcW w:w="1800" w:type="dxa"/>
            <w:vAlign w:val="bottom"/>
          </w:tcPr>
          <w:p>
            <w:pPr>
              <w:jc w:val="center"/>
              <w:ind w:left="13"/>
              <w:spacing w:after="0"/>
              <w:rPr>
                <w:sz w:val="20"/>
                <w:szCs w:val="20"/>
                <w:color w:val="auto"/>
              </w:rPr>
            </w:pPr>
            <w:r>
              <w:rPr>
                <w:rFonts w:ascii="Arial" w:cs="Arial" w:eastAsia="Arial" w:hAnsi="Arial"/>
                <w:sz w:val="18"/>
                <w:szCs w:val="18"/>
                <w:color w:val="auto"/>
                <w:w w:val="89"/>
              </w:rPr>
              <w:t>157,000</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Austria</w:t>
            </w:r>
          </w:p>
        </w:tc>
        <w:tc>
          <w:tcPr>
            <w:tcW w:w="120" w:type="dxa"/>
            <w:vAlign w:val="bottom"/>
            <w:shd w:val="clear" w:color="auto" w:fill="CFF0FC"/>
          </w:tcPr>
          <w:p>
            <w:pPr>
              <w:spacing w:after="0"/>
              <w:rPr>
                <w:sz w:val="21"/>
                <w:szCs w:val="21"/>
                <w:color w:val="auto"/>
              </w:rPr>
            </w:pPr>
          </w:p>
        </w:tc>
        <w:tc>
          <w:tcPr>
            <w:tcW w:w="2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Klagenfurt</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Wind Segment</w:t>
            </w:r>
          </w:p>
        </w:tc>
        <w:tc>
          <w:tcPr>
            <w:tcW w:w="1800" w:type="dxa"/>
            <w:vAlign w:val="bottom"/>
          </w:tcPr>
          <w:p>
            <w:pPr>
              <w:jc w:val="center"/>
              <w:ind w:left="13"/>
              <w:spacing w:after="0"/>
              <w:rPr>
                <w:sz w:val="20"/>
                <w:szCs w:val="20"/>
                <w:color w:val="auto"/>
              </w:rPr>
            </w:pPr>
            <w:r>
              <w:rPr>
                <w:rFonts w:ascii="Arial" w:cs="Arial" w:eastAsia="Arial" w:hAnsi="Arial"/>
                <w:sz w:val="18"/>
                <w:szCs w:val="18"/>
                <w:color w:val="auto"/>
                <w:w w:val="90"/>
              </w:rPr>
              <w:t>32,000</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Romania</w:t>
            </w:r>
          </w:p>
        </w:tc>
        <w:tc>
          <w:tcPr>
            <w:tcW w:w="120" w:type="dxa"/>
            <w:vAlign w:val="bottom"/>
            <w:shd w:val="clear" w:color="auto" w:fill="CFF0FC"/>
          </w:tcPr>
          <w:p>
            <w:pPr>
              <w:spacing w:after="0"/>
              <w:rPr>
                <w:sz w:val="21"/>
                <w:szCs w:val="21"/>
                <w:color w:val="auto"/>
              </w:rPr>
            </w:pPr>
          </w:p>
        </w:tc>
        <w:tc>
          <w:tcPr>
            <w:tcW w:w="2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Timisoara</w:t>
            </w:r>
          </w:p>
        </w:tc>
        <w:tc>
          <w:tcPr>
            <w:tcW w:w="3120" w:type="dxa"/>
            <w:vAlign w:val="bottom"/>
            <w:gridSpan w:val="3"/>
          </w:tcPr>
          <w:p>
            <w:pPr>
              <w:ind w:left="120"/>
              <w:spacing w:after="0"/>
              <w:rPr>
                <w:sz w:val="20"/>
                <w:szCs w:val="20"/>
                <w:color w:val="auto"/>
              </w:rPr>
            </w:pPr>
            <w:r>
              <w:rPr>
                <w:rFonts w:ascii="Arial" w:cs="Arial" w:eastAsia="Arial" w:hAnsi="Arial"/>
                <w:sz w:val="18"/>
                <w:szCs w:val="18"/>
                <w:color w:val="auto"/>
              </w:rPr>
              <w:t>Wind Segment</w:t>
            </w:r>
          </w:p>
        </w:tc>
        <w:tc>
          <w:tcPr>
            <w:tcW w:w="1800" w:type="dxa"/>
            <w:vAlign w:val="bottom"/>
          </w:tcPr>
          <w:p>
            <w:pPr>
              <w:jc w:val="center"/>
              <w:ind w:left="13"/>
              <w:spacing w:after="0"/>
              <w:rPr>
                <w:sz w:val="20"/>
                <w:szCs w:val="20"/>
                <w:color w:val="auto"/>
              </w:rPr>
            </w:pPr>
            <w:r>
              <w:rPr>
                <w:rFonts w:ascii="Arial" w:cs="Arial" w:eastAsia="Arial" w:hAnsi="Arial"/>
                <w:sz w:val="18"/>
                <w:szCs w:val="18"/>
                <w:color w:val="auto"/>
                <w:w w:val="90"/>
              </w:rPr>
              <w:t>33,000</w:t>
            </w:r>
          </w:p>
        </w:tc>
        <w:tc>
          <w:tcPr>
            <w:tcW w:w="2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837"/>
        </w:trPr>
        <w:tc>
          <w:tcPr>
            <w:tcW w:w="4580" w:type="dxa"/>
            <w:vAlign w:val="bottom"/>
          </w:tcPr>
          <w:p>
            <w:pPr>
              <w:spacing w:after="0"/>
              <w:rPr>
                <w:sz w:val="24"/>
                <w:szCs w:val="24"/>
                <w:color w:val="auto"/>
              </w:rPr>
            </w:pPr>
          </w:p>
        </w:tc>
        <w:tc>
          <w:tcPr>
            <w:tcW w:w="3000" w:type="dxa"/>
            <w:vAlign w:val="bottom"/>
            <w:gridSpan w:val="2"/>
          </w:tcPr>
          <w:p>
            <w:pPr>
              <w:jc w:val="right"/>
              <w:ind w:right="170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6" w:name="page27"/>
    <w:bookmarkEnd w:id="26"/>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Ghodawat Energy Pvt Ltd (“Ghodawat”), a company registered in India carrying on the business of wind power development, lodged a Request for Arbitration with the Secretariat of the ICC International Court of Arbitration (the “ICC Court”) on May 12, 2011 and named the Company’s wholly-owned Austrian subsidiary, AMSC Austria GmbH (“AMSC Austria”) as the Respondent. Under the Request for Arbitration, Ghodawat alleged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amounted to approximately €18 million ($24 million). AMSC Austria submitted counterclaims under the License Agreement against Ghodawat in the amount of approximately €6 million ($8.0 million). On August 29, 2014, the ICC Court ruled that AMSC Austria was liable for damages and awarded Ghodawat approximately €8.3 million, which included reimbursement of legal costs and associated expenses. Interest on this amount accrued at a rate of 5.33% from the date of award. We had recorded a loss contingency of $0.5 million based on our assessment of probable losses on this claim in a prior period. As a result of the arbitration award liability, we recorded a charge of $10.2 million during the three months ended September 30, 2014.</w:t>
      </w:r>
    </w:p>
    <w:p>
      <w:pPr>
        <w:spacing w:after="0" w:line="18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February 4, 2015, AMSC Austria entered into a Settlement Agreement with Ghodawat, which provided for, among other things, (i) a payment by AMSC Austria to Ghodawat of €7.45 million, and (ii) upon payment by AMSC Austria to Ghodawat, the full settlement of any and all disputes and claims between the parties (including their respective parent and affiliated companies), in particular related to or arising out of the award. The Company paid the settlement amount during the fourth quarter of fiscal 2014. As a result of this agreement, the Company reversed a portion of the accrued arbitration liability and recorded a reversal of an excess accrual of approximately $1.2 million in the fourth quarter of fiscal 2014.</w:t>
      </w:r>
    </w:p>
    <w:p>
      <w:pPr>
        <w:spacing w:after="0" w:line="1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On September 13, 2011, we commenced a series of legal actions in China against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7"/>
          <w:szCs w:val="17"/>
          <w:i w:val="1"/>
          <w:iCs w:val="1"/>
          <w:color w:val="auto"/>
        </w:rPr>
        <w:t>(2011) Jing Zhong An Zi No. 0963</w:t>
      </w:r>
      <w:r>
        <w:rPr>
          <w:rFonts w:ascii="Arial" w:cs="Arial" w:eastAsia="Arial" w:hAnsi="Arial"/>
          <w:sz w:val="17"/>
          <w:szCs w:val="17"/>
          <w:color w:val="auto"/>
        </w:rPr>
        <w:t>. On March 31, 2011, Sinovel refused to accept contracted shipments of 1.5 MW and 3 MW wind turbine core 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7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 xml:space="preserve">On October 8, 2011, Sinovel filed with the Beijing Arbitration Commission an application under the caption </w:t>
      </w:r>
      <w:r>
        <w:rPr>
          <w:rFonts w:ascii="Arial" w:cs="Arial" w:eastAsia="Arial" w:hAnsi="Arial"/>
          <w:sz w:val="17"/>
          <w:szCs w:val="17"/>
          <w:i w:val="1"/>
          <w:iCs w:val="1"/>
          <w:color w:val="auto"/>
        </w:rPr>
        <w:t>(2011) Jing Zhong An Zi No. 0963,</w:t>
      </w:r>
      <w:r>
        <w:rPr>
          <w:rFonts w:ascii="Arial" w:cs="Arial" w:eastAsia="Arial" w:hAnsi="Arial"/>
          <w:sz w:val="17"/>
          <w:szCs w:val="17"/>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7"/>
          <w:szCs w:val="17"/>
          <w:i w:val="1"/>
          <w:iCs w:val="1"/>
          <w:color w:val="auto"/>
        </w:rPr>
        <w:t>(2012) Jing Zhong An Zi No. 0157,</w:t>
      </w:r>
      <w:r>
        <w:rPr>
          <w:rFonts w:ascii="Arial" w:cs="Arial" w:eastAsia="Arial" w:hAnsi="Arial"/>
          <w:sz w:val="17"/>
          <w:szCs w:val="17"/>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jc w:val="both"/>
        <w:ind w:firstLine="518"/>
        <w:spacing w:after="0" w:line="267" w:lineRule="auto"/>
        <w:rPr>
          <w:sz w:val="20"/>
          <w:szCs w:val="20"/>
          <w:color w:val="auto"/>
        </w:rPr>
      </w:pPr>
      <w:r>
        <w:rPr>
          <w:rFonts w:ascii="Arial" w:cs="Arial" w:eastAsia="Arial" w:hAnsi="Arial"/>
          <w:sz w:val="17"/>
          <w:szCs w:val="17"/>
          <w:color w:val="auto"/>
        </w:rPr>
        <w:t>We also submitted a civil action application to the Beijing No. 1 Intermediate People’s Court under the caption (2011) Yi Zhong Min Chu Zi No. 15524,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the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On November 23, 2012, China’s Supreme People’s Court issued a Civil Ruling, holding that (1) it will conduct a re-trial of Sinovel’s appeal, and (2) the lower court’s decision will be stayed pending the re-trial. China’s Supreme People’s Court conducted a re-trial of Sinovel’s appeal on May 29, 2013. On January 26, 2014, the Supreme People’s Court ruled to uphold the Beijing Higher People’s Court ruling that the dispute shall be heard by the court. On September 15, 2014, the Beijing No. 1 Intermediate People’s Court held its first substantive hearing in the Beijing case. At the hearing, the parties presented evidence, reviewed claims, and answered questions from the court. On April 24, 2015, we received notification from the Beijing No. 1 Intermediate People’s Court that it dismissed the case for what it cited was a lack of evidence. On May 6, 2015, we filed an appeal of the Beijing No. 1 Intermediate People’s Court decision to dismiss the case with the Beijing Higher People’s Court.</w:t>
      </w:r>
    </w:p>
    <w:p>
      <w:pPr>
        <w:spacing w:after="0" w:line="183" w:lineRule="exact"/>
        <w:rPr>
          <w:sz w:val="20"/>
          <w:szCs w:val="20"/>
          <w:color w:val="auto"/>
        </w:rPr>
      </w:pPr>
    </w:p>
    <w:p>
      <w:pPr>
        <w:jc w:val="both"/>
        <w:ind w:firstLine="571"/>
        <w:spacing w:after="0" w:line="269" w:lineRule="auto"/>
        <w:rPr>
          <w:sz w:val="20"/>
          <w:szCs w:val="20"/>
          <w:color w:val="auto"/>
        </w:rPr>
      </w:pPr>
      <w:r>
        <w:rPr>
          <w:rFonts w:ascii="Arial" w:cs="Arial" w:eastAsia="Arial" w:hAnsi="Arial"/>
          <w:sz w:val="17"/>
          <w:szCs w:val="17"/>
          <w:color w:val="auto"/>
        </w:rPr>
        <w:t>We submitted a civil action application to the Beijing Higher People’s Court against Sinovel and certain of its employees for trade secret infringement on September 13, 2011 under the caption (2011) Gao Min Chu Zi No. 4193. The application alleges the defendants’ unauthorized use of portions of our wind turbine control software source code developed for Sinovel’s 1.5MW wind turbines as described above with respect to the Copyright Action. We are seeking monetary damages of RMB 2.9 billion ($453 million) for the trade secret infringement as well as reimbursement of all costs and reasonable expenses. The Beijing Higher People’s Court has accepted the case, which was necessary in order for the case to proceed. On December 22, 2011 the Beijing Higher People’s Court transferred the case to the Beijing No. 1 Intermediate People’s Court under the caption (2011) Gao Min Chu Zi No. 4193. On June 7, 2012, we received an Acceptance Notice from the Beijing No.1 Intermediate People’s Court under the caption (2012) Yi Zhong Min Chu Zi No.6833. In August 2012, Sinovel filed a motion to remove this case from the Beijing No. 1 Intermediate People’s Court and transfer the matter to the Beijing Arbitration Commission. On February 24, 2014, the Beijing No. 1 Intermediate People’s Court denied Sinovel’s motion to remove and transfer the case. On March 13, 2014, Sinovel filed an appeal of the Beijing No. 1 Intermediate People’s Court decision to the Beijing Higher People’s Court. On August 7, 2014, the Beijing Higher People’s Court upheld the Beijing No.1 Intermediate Court’s decision and rejected Sinovel’s appeal regarding the jurisdiction opposition. The Beijing No. 1 Intermediate Court held the first substantive hearing on May 11, 2015.</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518"/>
        <w:spacing w:after="0" w:line="285"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xml:space="preserve">.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appealed the court’s ruling to the Hainan Higher Court, which on April 5, 2012 upheld the decision of the Hainan Province No. 1 Intermediate People’s Court. On April 9, 2012, we filed an appeal of the Hainan Higher Court’s decision with China’s Supreme People’s Court. China’s Supreme People’s Court accepted the appeal on May 23, 2012. The case is captioned, (2012) Min Shen Zi No. 630. On December 20, 2012, China’s Supreme People’s Court issued a Civil ruling, holding that (1) it will conduct a re-trial of our appeal and (2) the lower court’s decision will be stayed pending the re-trial. China’s Supreme People’s Court conducted a re-trial of our appeal on May 29, 2013. On January 26, 2014, the Supreme People’s Court revoked Hainan No. 1 Intermediate People’s Court and Hainan Higher People’s Court rulings and ruled that the case shall be heard by the Hainan No. 1 Intermediate People’s Court. The Hainan No. 1 Intermediate People’s Court accepted the case under the caption </w:t>
      </w:r>
      <w:r>
        <w:rPr>
          <w:rFonts w:ascii="Arial" w:cs="Arial" w:eastAsia="Arial" w:hAnsi="Arial"/>
          <w:sz w:val="16"/>
          <w:szCs w:val="16"/>
          <w:i w:val="1"/>
          <w:iCs w:val="1"/>
          <w:color w:val="auto"/>
        </w:rPr>
        <w:t>(2014) Hainan Yi Zhong Min San Chu Zi No. 1</w:t>
      </w:r>
      <w:r>
        <w:rPr>
          <w:rFonts w:ascii="Arial" w:cs="Arial" w:eastAsia="Arial" w:hAnsi="Arial"/>
          <w:sz w:val="16"/>
          <w:szCs w:val="16"/>
          <w:color w:val="auto"/>
        </w:rPr>
        <w:t xml:space="preserve">. On October 21, 2014, the Hainan No. 1 Intermediate People’s Court changed the caption of this case to </w:t>
      </w:r>
      <w:r>
        <w:rPr>
          <w:rFonts w:ascii="Arial" w:cs="Arial" w:eastAsia="Arial" w:hAnsi="Arial"/>
          <w:sz w:val="16"/>
          <w:szCs w:val="16"/>
          <w:i w:val="1"/>
          <w:iCs w:val="1"/>
          <w:color w:val="auto"/>
        </w:rPr>
        <w:t>(2014) Hainan Yi Zhong Zhi Min Chu Zi No. 2</w:t>
      </w:r>
      <w:r>
        <w:rPr>
          <w:rFonts w:ascii="Arial" w:cs="Arial" w:eastAsia="Arial" w:hAnsi="Arial"/>
          <w:sz w:val="16"/>
          <w:szCs w:val="16"/>
          <w:color w:val="auto"/>
        </w:rPr>
        <w:t>. On November 18, 2014, the Hainan No. 1 Intermediate People’s Court held its first substantive hearing in the Hainan case. At the hearing, the parties presented evidence, reviewed claims, and answered questions from the court. We are awaiting a decision from the Hainan No. 1 Intermediate People’s Court.</w:t>
      </w:r>
    </w:p>
    <w:p>
      <w:pPr>
        <w:spacing w:after="0" w:line="31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both"/>
        <w:ind w:left="1180" w:right="20" w:hanging="1174"/>
        <w:spacing w:after="0" w:line="277"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8"/>
          <w:szCs w:val="18"/>
          <w:color w:val="auto"/>
        </w:rPr>
        <w:t>Our common stock has been listed on the NASDAQ Global Select Market under the symbol “AMSC” since 1991. The following table sets forth the high and low sales price per share of our common stock as reported on the NASDAQ Global Select Market for each quarter of the two most recent fiscal years. The sales prices in this table have been adjusted to reflect the 1-for-10 reverse stock split effected March 24,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Price</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8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6"/>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March 31, 2015:</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Second quarter</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21.50</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Fourth quarter</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8.80</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Fiscal year ended March 31, 2014:</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30.60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24.20</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holders of record of our common stock on May 22, 2015 was 322.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 The Term Loans with Hercules Technology Growth Capital, Inc. which are discussed further in Item 7, “Management’s Discussion and Analysis of Financial Condition and Results of Operations”, prohibit us from paying cash dividends.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following graph compares the cumulative total stockholder return on our common stock from March 31, 2010 to March 31, 2015 with the cumulative total return of (i) the Russell 2000 Index and (ii) the S&amp;P 500 Index. This graph assumes the investment of $100.00 on March 31, 2010 in our common stock, the Russell 2000 Index and the S&amp;P 500 Index, and assumes any dividends are reinvested. Measurement points are March 31, 2011; March 31, 2012; March 31, 2013; March 31, 2014; and March 31, 2015.</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364"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American Superconductor Corporation, the Russell 2000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160020</wp:posOffset>
            </wp:positionV>
            <wp:extent cx="5351145" cy="3782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Company/Index</w:t>
            </w:r>
          </w:p>
        </w:tc>
        <w:tc>
          <w:tcPr>
            <w:tcW w:w="12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3/31/10</w:t>
            </w:r>
          </w:p>
        </w:tc>
        <w:tc>
          <w:tcPr>
            <w:tcW w:w="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3/31/11</w:t>
            </w:r>
          </w:p>
        </w:tc>
        <w:tc>
          <w:tcPr>
            <w:tcW w:w="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3/31/12</w:t>
            </w:r>
          </w:p>
        </w:tc>
        <w:tc>
          <w:tcPr>
            <w:tcW w:w="1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3/31/13</w:t>
            </w:r>
          </w:p>
        </w:tc>
        <w:tc>
          <w:tcPr>
            <w:tcW w:w="1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3/31/14</w:t>
            </w:r>
          </w:p>
        </w:tc>
        <w:tc>
          <w:tcPr>
            <w:tcW w:w="1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3/31/15</w:t>
            </w:r>
          </w:p>
        </w:tc>
        <w:tc>
          <w:tcPr>
            <w:tcW w:w="100" w:type="dxa"/>
            <w:vAlign w:val="bottom"/>
            <w:tcBorders>
              <w:bottom w:val="single" w:sz="8" w:color="CFF0FC"/>
            </w:tcBorders>
          </w:tcPr>
          <w:p>
            <w:pPr>
              <w:spacing w:after="0"/>
              <w:rPr>
                <w:sz w:val="14"/>
                <w:szCs w:val="14"/>
                <w:color w:val="auto"/>
              </w:rPr>
            </w:pPr>
          </w:p>
        </w:tc>
      </w:tr>
      <w:tr>
        <w:trPr>
          <w:trHeight w:val="237"/>
        </w:trPr>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American Superconductor Corp.</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86.06</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20"/>
                <w:szCs w:val="20"/>
                <w:color w:val="auto"/>
              </w:rPr>
            </w:pP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Russell 2000</w:t>
            </w: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125.79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125.56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146.08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tcPr>
          <w:p>
            <w:pPr>
              <w:spacing w:after="0"/>
              <w:rPr>
                <w:sz w:val="21"/>
                <w:szCs w:val="21"/>
                <w:color w:val="auto"/>
              </w:rPr>
            </w:pPr>
          </w:p>
        </w:tc>
      </w:tr>
      <w:tr>
        <w:trPr>
          <w:trHeight w:val="243"/>
        </w:trPr>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S&amp;P 500</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115.64</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172.27</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196.44</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1" w:name="page32"/>
    <w:bookmarkEnd w:id="31"/>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following selected financial data reflects the results of operations and balance sheet data for the fiscal years ended March 31, 2011 to 2015. Per share data has been restated to reflect the 1-for-10 reverse stock split effected on March 24, 2015.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Fiscal year ended March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8"/>
                <w:szCs w:val="18"/>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  70,530</w:t>
            </w: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   84,117</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  87,419</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76,543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286,603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(48,656)</w:t>
            </w:r>
          </w:p>
        </w:tc>
        <w:tc>
          <w:tcPr>
            <w:tcW w:w="1020" w:type="dxa"/>
            <w:vAlign w:val="bottom"/>
          </w:tcPr>
          <w:p>
            <w:pPr>
              <w:jc w:val="right"/>
              <w:spacing w:after="0"/>
              <w:rPr>
                <w:sz w:val="20"/>
                <w:szCs w:val="20"/>
                <w:color w:val="auto"/>
              </w:rPr>
            </w:pPr>
            <w:r>
              <w:rPr>
                <w:rFonts w:ascii="Arial" w:cs="Arial" w:eastAsia="Arial" w:hAnsi="Arial"/>
                <w:sz w:val="18"/>
                <w:szCs w:val="18"/>
                <w:color w:val="auto"/>
              </w:rPr>
              <w:t>(56,258)</w:t>
            </w:r>
          </w:p>
        </w:tc>
        <w:tc>
          <w:tcPr>
            <w:tcW w:w="1020" w:type="dxa"/>
            <w:vAlign w:val="bottom"/>
          </w:tcPr>
          <w:p>
            <w:pPr>
              <w:jc w:val="right"/>
              <w:spacing w:after="0"/>
              <w:rPr>
                <w:sz w:val="20"/>
                <w:szCs w:val="20"/>
                <w:color w:val="auto"/>
              </w:rPr>
            </w:pPr>
            <w:r>
              <w:rPr>
                <w:rFonts w:ascii="Arial" w:cs="Arial" w:eastAsia="Arial" w:hAnsi="Arial"/>
                <w:sz w:val="18"/>
                <w:szCs w:val="18"/>
                <w:color w:val="auto"/>
              </w:rPr>
              <w:t>(66,131)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(136,827)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(186,284)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loss per common share - diluted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c>
          <w:tcPr>
            <w:tcW w:w="1020" w:type="dxa"/>
            <w:vAlign w:val="bottom"/>
          </w:tcPr>
          <w:p>
            <w:pPr>
              <w:jc w:val="right"/>
              <w:spacing w:after="0"/>
              <w:rPr>
                <w:sz w:val="20"/>
                <w:szCs w:val="20"/>
                <w:color w:val="auto"/>
              </w:rPr>
            </w:pPr>
            <w:r>
              <w:rPr>
                <w:rFonts w:ascii="Arial" w:cs="Arial" w:eastAsia="Arial" w:hAnsi="Arial"/>
                <w:sz w:val="18"/>
                <w:szCs w:val="18"/>
                <w:color w:val="auto"/>
              </w:rPr>
              <w:t>(8.98)</w:t>
            </w:r>
          </w:p>
        </w:tc>
        <w:tc>
          <w:tcPr>
            <w:tcW w:w="1020" w:type="dxa"/>
            <w:vAlign w:val="bottom"/>
          </w:tcPr>
          <w:p>
            <w:pPr>
              <w:jc w:val="right"/>
              <w:spacing w:after="0"/>
              <w:rPr>
                <w:sz w:val="20"/>
                <w:szCs w:val="20"/>
                <w:color w:val="auto"/>
              </w:rPr>
            </w:pPr>
            <w:r>
              <w:rPr>
                <w:rFonts w:ascii="Arial" w:cs="Arial" w:eastAsia="Arial" w:hAnsi="Arial"/>
                <w:sz w:val="18"/>
                <w:szCs w:val="18"/>
                <w:color w:val="auto"/>
              </w:rPr>
              <w:t>(12.46)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133,825</w:t>
            </w: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168,509</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216,754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255,056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Working capital</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17,319</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35,459</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40,428</w:t>
            </w:r>
          </w:p>
        </w:tc>
        <w:tc>
          <w:tcPr>
            <w:tcW w:w="3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57,248</w:t>
            </w:r>
          </w:p>
        </w:tc>
        <w:tc>
          <w:tcPr>
            <w:tcW w:w="940" w:type="dxa"/>
            <w:vAlign w:val="bottom"/>
          </w:tcPr>
          <w:p>
            <w:pPr>
              <w:jc w:val="right"/>
              <w:spacing w:after="0"/>
              <w:rPr>
                <w:sz w:val="20"/>
                <w:szCs w:val="20"/>
                <w:color w:val="auto"/>
              </w:rPr>
            </w:pPr>
            <w:r>
              <w:rPr>
                <w:rFonts w:ascii="Arial" w:cs="Arial" w:eastAsia="Arial" w:hAnsi="Arial"/>
                <w:sz w:val="18"/>
                <w:szCs w:val="18"/>
                <w:color w:val="auto"/>
              </w:rPr>
              <w:t>174,625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marketable securities and restricted cash</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24,548</w:t>
            </w: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49,421</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50,199</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66,209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Long term debt, net of discount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3,877</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6,380</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9,248</w:t>
            </w:r>
          </w:p>
        </w:tc>
        <w:tc>
          <w:tcPr>
            <w:tcW w:w="32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79,893</w:t>
            </w: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112,259</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125,118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164,879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Included in the net loss for the fiscal year ended March 31, 2015 was stock-based compensation expense of $5.9 million, restructuring and impairment charges of $5.4 million, non-cash interest expense of $0.6 million, arbitration award expense of $9.0 million and a gain from the change in fair value of warrants and derivatives of $4.0 million. Included in the net loss for the fiscal year ended March 31, 2014 was stock-based compensation expense of $10.7 million, restructuring and impairment charges of $3.0 million, a prepaid VAT reserve of $1.4 million, non-cash interest expense of $7.7 million, a loss on extinguishment of debt of $5.2 million and a gain from the change in fair value of warrants and derivatives of $1.9 million. Included in the net loss for the fiscal year ended March 31, 2013 was stock-based compensation expense of $8.1 million, restructuring and impairment charges of $7.9 million, a loss contingency of $1.8 million, non-cash interest expense of $12.4 million as well as gains from the change in fair value of warrants and derivatives and recoveries of adverse purchase commitments of $7.6 million and $7.8 million, respectively. Included in the net loss for the fiscal year ended March 31, 2012 was stock-based compensation expense of $9.9 million, a write-off of an advance payment to The Switch Engineering OY (“The Switch”) of $20.6 million, restructuring and impairment charges of $9.2 million, expense of patent costs of $4.9 million, and Sinovel legal expenses of $5.8 million. Net loss for the fiscal year ended March 31, 2011 included $13.4 million in stock-based compensation expense. Also included in net loss for the fiscal year ended March 31, 2011 were charges primarily attributable to events surroundings our largest customer, Sinovel, a manufacturer of wind energy systems in China, including an increase in the provision for excess and obsolete inventory of $63.9 million, loss on adverse purchase commitments of $38.8 million, impairment of goodwill and certain other long-lived assets of $50.0 million and a write-off of prepaid value-added taxes of $5.9 million. Sinovel refused to accept scheduled shipments on March 31, 2011. As a result of subsequent legal actions, we determined that the customer relationship with Sinovel would no longer continue. This impacted the valuation of assets, including inventory and goodwill, as well as the accrual of losses on adverse purchase commitments associated with the purchase of materials to support the manufacture of product for Sinovel. See Item 3, “Legal Proceedings”, for further discussion of the Sinovel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American Superconductor Corporation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security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18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62" w:lineRule="exact"/>
        <w:rPr>
          <w:sz w:val="20"/>
          <w:szCs w:val="20"/>
          <w:color w:val="auto"/>
        </w:rPr>
      </w:pPr>
    </w:p>
    <w:p>
      <w:pPr>
        <w:jc w:val="both"/>
        <w:ind w:left="1020" w:right="20" w:hanging="358"/>
        <w:spacing w:after="0" w:line="27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 output,</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64" w:lineRule="exact"/>
        <w:rPr>
          <w:rFonts w:ascii="Arial" w:cs="Arial" w:eastAsia="Arial" w:hAnsi="Arial"/>
          <w:sz w:val="17"/>
          <w:szCs w:val="17"/>
          <w:color w:val="auto"/>
        </w:rPr>
      </w:pPr>
    </w:p>
    <w:p>
      <w:pPr>
        <w:jc w:val="both"/>
        <w:ind w:left="1020" w:hanging="358"/>
        <w:spacing w:after="0" w:line="25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w:t>
      </w:r>
      <w:r>
        <w:rPr>
          <w:rFonts w:ascii="Arial" w:cs="Arial" w:eastAsia="Arial" w:hAnsi="Arial"/>
          <w:sz w:val="15"/>
          <w:szCs w:val="15"/>
          <w:color w:val="auto"/>
        </w:rPr>
        <w:t>TM</w:t>
      </w:r>
      <w:r>
        <w:rPr>
          <w:rFonts w:ascii="Arial" w:cs="Arial" w:eastAsia="Arial" w:hAnsi="Arial"/>
          <w:sz w:val="18"/>
          <w:szCs w:val="18"/>
          <w:color w:val="auto"/>
        </w:rPr>
        <w:t>, our Grid business segment enables electric utilities and renewable energy project developers to</w:t>
      </w:r>
      <w:r>
        <w:rPr>
          <w:rFonts w:ascii="Arial" w:cs="Arial" w:eastAsia="Arial" w:hAnsi="Arial"/>
          <w:sz w:val="18"/>
          <w:szCs w:val="18"/>
          <w:i w:val="1"/>
          <w:iCs w:val="1"/>
          <w:color w:val="auto"/>
        </w:rPr>
        <w:t xml:space="preserve"> </w:t>
      </w:r>
      <w:r>
        <w:rPr>
          <w:rFonts w:ascii="Arial" w:cs="Arial" w:eastAsia="Arial" w:hAnsi="Arial"/>
          <w:sz w:val="18"/>
          <w:szCs w:val="18"/>
          <w:color w:val="auto"/>
        </w:rPr>
        <w:t>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2014 refers to the fiscal year beginning on April 1, 2014. Other fiscal years follow similarly.</w:t>
      </w:r>
    </w:p>
    <w:p>
      <w:pPr>
        <w:spacing w:after="0" w:line="14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On January 14, 2015, we received a letter from The NASDAQ Stock Market LLC (“Nasdaq”) notifying us that we were no longer in compliance with the $1.00 per share minimum bid price requirement set forth in Nasdaq Listing Rule 5450(a)(1) for continued listing on The Nasdaq Global Select Market. We were provided 180 calendar days, or until July 13, 2015, to regain compliance with the minimum bid price requirement. In accordance with Listing Rule 5810(c)(3)(A), we could regain compliance if the closing bid price of our common stock met or exceeded $1.00 per share for at least 10 consecutive business days. To facilitate our efforts to regain compliance with the minimum bid price requirement, our Board of Directors approved an amendment to our Restated Certificate of Incorporation effecting a one-for-ten reverse stock split, which became effective on March 24, 2015. Trading of our common stock reflected the reverse stock split beginning March 25, 2015. On April 9, 2015, we received a letter from Nasdaq notifying us that (a) our common stock had a closing bid price of at least $1.00 for a minimum of 10 consecutive business days, from March 25, 2015 to April 8, 2015, and (b) we had regained compliance with the minimum bid price requirement set forth in Nasdaq Listing Rule 5450(a)(1) for continued listing on The Nasdaq Global Select Market. Unless otherwise indicated, all historical references to shares of common stock, shares of restricted stock, restricted units, shares underlying stock options, warrants or calculations that use common stock for per share financial reporting have been adjusted for comparative purposes to reflect the impact of the 1-for-10 reverse stock split as if it had occurred at the beginning of the earliest period presented.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jc w:val="both"/>
        <w:ind w:firstLine="518"/>
        <w:spacing w:after="0" w:line="264" w:lineRule="auto"/>
        <w:rPr>
          <w:sz w:val="20"/>
          <w:szCs w:val="20"/>
          <w:color w:val="auto"/>
        </w:rPr>
      </w:pPr>
      <w:r>
        <w:rPr>
          <w:rFonts w:ascii="Arial" w:cs="Arial" w:eastAsia="Arial" w:hAnsi="Arial"/>
          <w:sz w:val="18"/>
          <w:szCs w:val="18"/>
          <w:color w:val="auto"/>
        </w:rPr>
        <w:t>We have experienced recurring operating losses and as of March 31, 2015, had an accumulated deficit of $905.0 million. In addition, we have experienced recurring negative operating cash flows. At March 31, 2015, we had cash and cash equivalents of $20.5 million, which compares to cash used in operations of $32.7 million for the year ended March 31, 2015.</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Over the last several years, we have entered into several debt and equity financing arrangements in order to enhance liquidity. During the fiscal years ended March 31, 2015, 2014 and 2013, we generated aggregate cash flows from financing activities of $52.8 million. In addition, on April 29, 2015, we closed on an additional equity financing, which raised net proceeds of approximately $22.3 million, after deducting underwriting discounts and commissions and estimated offering expenses. See Note 9, “Debt”, Note 12 “Stockholders Equity” and Note 19 “Subsequent Events” for further discussion of these financing arrangements. We believe that we are in compliance with the covenants and restrictions included in the agreements governing our debt arrangements as of March 31, 2015.</w:t>
      </w:r>
    </w:p>
    <w:p>
      <w:pPr>
        <w:spacing w:after="0" w:line="19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August 29, 2014, the Arbitration Tribunal for the ICC International Court of Arbitration (the “ICC Court”) found us liable for damages in our breach of contract arbitration against Ghodawat Energy Pvt Ltd (“Ghodawat”) and awarded Ghodawat approximately €8.3 million plus interest of 5.33%, which accrued from the date of award. We recorded $10.2 million in arbitration award expense in the period ending September 30, 2014.</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February 4, 2015, our wholly-owned Austrian subsidiary AMSC Austria GmbH (“AMSC Austria”) entered into a Settlement Agreement with Ghodawat, which provided for, among other things, (i) a payment by AMSC Austria to Ghodawat of €7.45 million, and (ii) upon payment by AMSC Austria to Ghodawat, the full settlement of any and all disputes and claims between the parties (including their respective parent and affiliated companies), in particular relating to or arising out of the award. We paid the settlement amount on February 10, 2015, which is included in cash used from operations for the year ended March 31, 2015. As a result of this agreement, we reported approximately $9.0 million as arbitration award expense for the fiscal year ended March 31, 2015. See Part II, Item 1, “Legal Proceedings” for further information.</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insurer, Catlin Specialty Insurance Company (“Catlin”) sought and received a ruling from the Massachusetts Superior Court that coverage does not apply to the Ghodawat arbitration award liability. On January 14, 2015, we and our subsidiary AMSC Austria entered into a Settlement Agreement and Release with Catlin, which provided for, among other things, (i) our and AMSC Austria’s release of all claims against Catlin relating to the arbitration award liability, and (ii) Catlin’s release of all claims against us and AMSC Austria relating to approximately $2.3 million reimbursed to date under the insurance policy for expenses incurred in connection with the arbitration proceedings. As a result of the settlement with Catlin, in the fourth quarter of fiscal 2014, the Company reversed the related Catlin contingent liability for payments previously reimbursed by Catlin and reduced general and administrative expenses by $2.2 million.</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March 31, 2011, Sinovel Wind Group Co., Ltd. (“Sinovel”) refused to accept contracted scheduled shipments with a revenue value of approximately $65.2 million. In addition, as of March 31, 2011, we had approximately $62.0 million of receivables (excluding value-added tax) outstanding from Sinovel. As of the date of this filing, we have not received payment from Sinovel for these outstanding receivables that are now past due, nor have we been notified as to when, if ever, they will accept contracted shipments that were scheduled for delivery after March 31, 2011. No payment has been received from Sinovel since early March 2011. Because Sinovel did not give us notice that it intended to delay deliveries as required under the contracts, we believe that these actions constitute material breaches of our contracts. Additionally, we believe that Sinovel illegally obtained and used our intellectual property in violation of civil and criminal intellectual property laws.</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also filed civil and criminal complaints against Sinovel.</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cannot provide any assurance as to the outcome of these legal actions. For more information about these legal proceedings, see Part II, Item 1, “Legal Proceedings.”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fiscal year 2014, Inox accounted for approximately 56% of our total revenues with no other customer accounting for greater than 10% of our total revenues. In fiscal year 2013, Inox and JCNE accounted for approximately 31% and 18%, respectively, of our total revenues. In fiscal year 2012, Inox and JCNE, accounted for approximately 19% and 13%, respectively, of our total revenues.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ind w:firstLine="518"/>
        <w:spacing w:after="0" w:line="289"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Resilient Electric Grid (“REG”) and ship protection system solutions, rate of customer and market adoption of our products, collecting receivables according to established terms, and the continued availability of U.S. government funding during the product development phase of our Superconductors based products. During the first half of fiscal 2015, we expect to announce an additional city conducting a deployment study of our REG system, to receive a large wind order for our electrical control systems, and new orders for our D-VAR systems. In the longer term, we expect to have a decision on moving to the manufacturing and construction phase of Project REG and we expect to receive additional business from the U.S. Navy. Significant deviations to our business plan with regard to these factors and events,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See below for a discussion of liquidity and capital resources.</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actively seeking to sell our minority investment in Tres Amigas, LLC, a Delaware limited liability company (“Tres Amigas”). We no longer believe our investment in Blade Dynamics is recoverable and therefore fully impaired our remaining investment in Blade Dynamics Ltd. (“Blade Dynamics”) during the fiscal year ended March 31, 2015. There can be no assurance that we will be able to sell these investments on commercially reasonable terms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2015 and March 31, 2014</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Total revenues decreased by 16% to $70.5 million in fiscal 2014 from $84.1 million in fiscal 2013. Our revenues are summarized as follows (in thousands):</w:t>
      </w: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80" w:type="dxa"/>
            <w:vAlign w:val="bottom"/>
          </w:tcPr>
          <w:p>
            <w:pPr>
              <w:spacing w:after="0"/>
              <w:rPr>
                <w:sz w:val="17"/>
                <w:szCs w:val="17"/>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280" w:type="dxa"/>
            <w:vAlign w:val="bottom"/>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51,307</w:t>
            </w:r>
          </w:p>
        </w:tc>
        <w:tc>
          <w:tcPr>
            <w:tcW w:w="10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55,608</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Grid</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w:t>
            </w:r>
          </w:p>
        </w:tc>
        <w:tc>
          <w:tcPr>
            <w:tcW w:w="4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Revenues in our Wind business unit consist of revenues from wind turbine electrical systems and core components, wind turbine license and development contracts, service contracts and consulting arrangements. Our Wind business unit accounted for 73% of total revenues in fiscal 2014 and 66% in fiscal 2013. Revenues in the Wind business unit decreased 8% to $51.3 million in fiscal 2014 from $55.6 million in fiscal 2013. The decrease in Wind business unit revenues was driven primarily by lower revenues in China partially offset by higher revenues from Inox in India.</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Revenues in our Grid business unit consist of revenues from our FACTS products, including D-VAR and D-SVC product sales, HTS wire sales, revenues under government-sponsored electric utility projects, and other prototype development contracts. We also engineer, install and commission our products on a turnkey-basis for some customers. The Grid business unit accounted for 27% of total revenues in fiscal 2014 and 34% in fiscal 2013. Grid revenue decreased 33% to $19.2 million in fiscal 2014 from $28.5 million in fiscal 2013. The decrease in revenues was primarily due to lower D-VAR system revenues.</w:t>
      </w:r>
    </w:p>
    <w:p>
      <w:pPr>
        <w:spacing w:after="0" w:line="188"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7"/>
          <w:szCs w:val="17"/>
          <w:color w:val="auto"/>
        </w:rPr>
        <w:t>Revenues from Project HYDRA and Project REG represented 9% and 7% of our Grid business unit’s revenue for fiscal 2014 and 2013, respectively. Our revenues for these projects are derived by funding from DHS. Project HYDRA is a project with Consolidated Edison, Inc. (“ConEd”) to demonstrate our REG product in ConEd’s electric grid. Project REG is a project with ComEd to permanently install our REG product in ComEd’s electric grid. This fault current limiting cable system is designed to utilize customized Amperium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HTS wire, and ancillary controls to deliver more power through the grid while also being able to suppress power surges that can disrupt service. DHS has committed 100% of the total expected funding of $29.0 million for Project HYDRA. Under Project REG, DHS is expected to invest up to $60.0 million to enable the deployment of the REG system in Chicago’s electric grid. We are currently working on the first phase of the project which among other things, will result in the creation of a detailed deployment plan. Funding of $1.5 million for this phase of the project has been committed by DHS. The second phase of the project involves the delivery of the REG system and the associated construction and deployment of the system in ComEd’s grid. We will not begin this phase of the project until all parties agree to proceed. There can be no assurance that all parties will agree to proceed with the project.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Cost of revenues decreased by 7% to $67.4 million in fiscal 2014, compared to $72.9 million in fiscal 2013. Gross margin decreased to 4.4% in fiscal 2014 from 13.4% in fiscal 2013. The decrease in gross margin in fiscal 2014 was driven primarily by higher 100% margin revenue from Chinese and other customers in fiscal 2013 compared to fiscal 2014, partially offset by higher usage of previously written off inventory used in our electrical control systems in fiscal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20" w:firstLine="518"/>
        <w:spacing w:after="0" w:line="311"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69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80" w:type="dxa"/>
            <w:vAlign w:val="bottom"/>
          </w:tcPr>
          <w:p>
            <w:pPr>
              <w:spacing w:after="0"/>
              <w:rPr>
                <w:sz w:val="17"/>
                <w:szCs w:val="17"/>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280" w:type="dxa"/>
            <w:vAlign w:val="bottom"/>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11,878</w:t>
            </w:r>
          </w:p>
        </w:tc>
        <w:tc>
          <w:tcPr>
            <w:tcW w:w="44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12,173</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R&amp;D expenditures reclassified as cost of revenues</w:t>
            </w: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w:t>
            </w: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R&amp;D expenditures offset by cost-sharing funding</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Aggregated R&amp;D expenses</w:t>
            </w:r>
          </w:p>
        </w:tc>
        <w:tc>
          <w:tcPr>
            <w:tcW w:w="1280" w:type="dxa"/>
            <w:vAlign w:val="bottom"/>
            <w:tcBorders>
              <w:bottom w:val="single" w:sz="8" w:color="auto"/>
            </w:tcBorders>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21,549</w:t>
            </w: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R&amp;D expenses (exclusive of amounts classified as cost of revenues and amounts offset by cost-sharing funding) decreased by 2% to $11.9 million, or 17% of revenue, for fiscal 2014 from $12.2 million, or 14% of revenue, for fiscal 2013. The decrease in R&amp;D expenses was primarily due to decreased headcount and related labor spending as a result of restructuring activities undertaken in fiscal 2013. The decrease in R&amp;D expenditures reclassified to cost of revenue was primarily driven by a reduction in related spending required to support license and development for our Wind customers. Aggregated R&amp;D expenses, which include amounts classified as cost of revenues and amounts offset by cost-sharing funding, decreased by $1.3 million to $21.5 million, or 31% of revenue, for fiscal 2014, compared to $22.9 million, or 27% of revenue, for fiscal 2013. The decrease in fiscal 2014 was driven primarily by the net impact of the factors described above.</w:t>
      </w:r>
    </w:p>
    <w:p>
      <w:pPr>
        <w:spacing w:after="0" w:line="18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present aggregated R&amp;D, which is a measure (a “non-GAAP measure”) not calculated in accordance with generally accepted accounting principles in the United States of America (“GAAP”), because we believe it provides useful information on our aggregate R&amp;D spending and because R&amp;D expenses as reported on the consolidated statements of operations have been, and may in the future be, subject to significant fluctuations solely as a result of changes in the level of externally-funded contract development work, resulting in significant changes in the amount of the cost recorded as costs of revenues rather than as R&amp;D expenses, as discussed above.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SG&amp;A expenses decreased by 22% to $29.2 million, or 41% of revenue, in fiscal 2014 from $37.2 million, or 44% of revenue, in fiscal 2013. The decrease in SG&amp;A expenses in fiscal 2014 was primarily due to lower stock compensation expense and the reversal of legal costs for the Catlin insurance claim as result of our settlement agreement with Catlin.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Arbitration award expense</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recorded an arbitration award expense of $9.0 million in the year ended March 31, 2015 following a decision by the ICC Court on August 29, 2014, finding us liable for damages of approximately €8.3 million under a breach of contract proceeding against Ghodawat. We entered into an agreement to settle this claim with Ghodawat for €7.45 million on February 4, 2015. We paid the settlement amount on February 10, 2015. As a result of this settlement, we recorded a reversal of an excess accrual of approximately $1.2 million during the fourth quarter of fiscal 2014.</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acquisition related intangibles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$0.2 million in fiscal 2014 and $0.3 million in fiscal 2013 in amortization expense related to our core technology and know-how, and trade names and trademark intangible assets.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b w:val="1"/>
          <w:bCs w:val="1"/>
          <w:i w:val="1"/>
          <w:iCs w:val="1"/>
          <w:color w:val="auto"/>
        </w:rPr>
        <w:t>Restructuring and impairments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recorded restructuring and impairment charges of $5.4 million in fiscal 2014, compared to $3.0 million in fiscal 2013. For fiscal 2014, this consists of restructuring charges of $0.6 million for employee severance costs, and $1.3 million for facility and relocation costs primarily for the consolidation of our Grid manufacturing operations into our Devens facility. In addition, we recorded an impairment charge of $3.5 million to fully impair our minority investment in Blade Dynamics. For fiscal 2013, the restructuring and impairment charges primarily consisted of employee severance costs of $1.7 million and an impairment charge of $1.3 million for our minority investment in Blade Dynamics.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980" w:type="dxa"/>
            <w:vAlign w:val="bottom"/>
          </w:tcPr>
          <w:p>
            <w:pPr>
              <w:spacing w:after="0"/>
              <w:rPr>
                <w:sz w:val="17"/>
                <w:szCs w:val="17"/>
                <w:color w:val="auto"/>
              </w:rPr>
            </w:pP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(14,321)</w:t>
            </w:r>
          </w:p>
        </w:tc>
        <w:tc>
          <w:tcPr>
            <w:tcW w:w="5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(5,213)</w:t>
            </w: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Grid</w:t>
            </w:r>
          </w:p>
        </w:tc>
        <w:tc>
          <w:tcPr>
            <w:tcW w:w="12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(26,890)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(22,523)</w:t>
            </w: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Unallocated corporate expenses</w:t>
            </w:r>
          </w:p>
        </w:tc>
        <w:tc>
          <w:tcPr>
            <w:tcW w:w="1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(11,306)</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(13,693)</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(52,517)</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(41,429)</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Wind generated an operating loss of $14.3 million in fiscal 2014 compared to an operating loss of $5.2 million in fiscal 2013. The increase in operating loss for fiscal 2014 was primarily attributable to lower revenues and the approximately $9.0 million arbitration award expense associated with the Ghodowat settlement, partially offset by the reversal of legal expenses associated with the Catlin settlement.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Grid operating loss increased to $26.9 million in fiscal 2014 from $22.5 million in fiscal 2013. The increase in operating loss for fiscal 2014 is primarily attributed to the lower revenues.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Unallocated corporate expenses in fiscal 2014 included restructuring and impairment charges of $5.4 million and $5.9 million in stock-based compensation expense. Unallocated corporate expenses in fiscal 2013 included restructuring and impairment charges of $3.0 million and $10.7 million in stock-based compensation expense.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change in fair value of derivatives and warrants resulted in gains of $4.0 million in fiscal 2014 and $1.9 million in fiscal 2013. The gains were driven by mark-to-market adjustments due primarily to our lower stock price on the derivative liabilities and the extinguishment of our unsecured, senior convertible note (the “Exchanged Note”) with Capital Ventures International (“CVI”) in fiscal 2013 (see “Loss on extinguishment of debt” below).</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a $5.2 million loss in fiscal 2013 related to extinguishment of the Exchanged Note in exchange for approximately 663,000 shares of common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Interest expense, net was $1.9 million in fiscal 2014 compared to $9.7 million for fiscal 2013. The decrease in interest expense, net was primarily driven by lower non-cash interest expense due to the conversion of the remaining outstanding balance on the Exchanged Note into common stock on March 2, 2014.</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income, net was $1.6 million in fiscal 2014, compared to other expense, net of $1.0 million in fiscal 2013. The increase in other income, net was due primarily to gains from foreign currency fluctuations as a result of the strengthening of the U.S. dollar against the EURO.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692" w:right="23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recorded an income tax benefit of $0.2 million in fiscal 2014, compared to income tax expense of $0.9 million in fiscal 2013. The decrease in income tax expense was driven primarily by a reversal of an uncertain tax position in Austria upon completion of tax audits for prior tax periods.</w:t>
      </w:r>
    </w:p>
    <w:p>
      <w:pPr>
        <w:spacing w:after="0" w:line="3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Certain asset write-offs in our foreign jurisdictions are considered permanent differences and are not tax deductible. Other asset write-offs, such as inventory and prepaid value-added taxes in China, are not currently deductible and result in deferred tax assets. Due to uncertainty around the realization of these deferred tax assets, they have been fully reserved as of the end of the fiscal years ended March 31, 2015 and March 31, 2014.</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Please refer to the “Risk Factors” section in Part I, Item 1A, for a discussion of certain factors that may affect our future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2014 and March 31, 2013</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Total revenues decreased by 4% to $84.1 million in fiscal 2013 from $87.4 million in fiscal 2012. Our revenues are summarized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9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280" w:type="dxa"/>
            <w:vAlign w:val="bottom"/>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55,608</w:t>
            </w:r>
          </w:p>
        </w:tc>
        <w:tc>
          <w:tcPr>
            <w:tcW w:w="10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44,231</w:t>
            </w:r>
          </w:p>
        </w:tc>
        <w:tc>
          <w:tcPr>
            <w:tcW w:w="100" w:type="dxa"/>
            <w:vAlign w:val="bottom"/>
            <w:shd w:val="clear" w:color="auto" w:fill="CFF0FC"/>
          </w:tcPr>
          <w:p>
            <w:pPr>
              <w:spacing w:after="0"/>
              <w:rPr>
                <w:sz w:val="21"/>
                <w:szCs w:val="21"/>
                <w:color w:val="auto"/>
              </w:rPr>
            </w:pPr>
          </w:p>
        </w:tc>
      </w:tr>
      <w:tr>
        <w:trPr>
          <w:trHeight w:val="243"/>
        </w:trPr>
        <w:tc>
          <w:tcPr>
            <w:tcW w:w="6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Grid</w:t>
            </w:r>
          </w:p>
        </w:tc>
        <w:tc>
          <w:tcPr>
            <w:tcW w:w="1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28,509</w:t>
            </w:r>
          </w:p>
        </w:tc>
        <w:tc>
          <w:tcPr>
            <w:tcW w:w="44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43,188</w:t>
            </w:r>
          </w:p>
        </w:tc>
        <w:tc>
          <w:tcPr>
            <w:tcW w:w="100" w:type="dxa"/>
            <w:vAlign w:val="bottom"/>
            <w:tcBorders>
              <w:bottom w:val="single" w:sz="8" w:color="CFF0FC"/>
            </w:tcBorders>
          </w:tcPr>
          <w:p>
            <w:pPr>
              <w:spacing w:after="0"/>
              <w:rPr>
                <w:sz w:val="21"/>
                <w:szCs w:val="2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Wind business unit accounted for 66% of total revenues in fiscal 2013 and 51% in fiscal 2012. Revenues in the Wind business unit increased 26% to $55.6 million in fiscal 2013 from $44.2 million in fiscal 2012. The increase in Wind business unit revenues was driven primarily by higher revenues from Inox and JCNE, partially offset by lower revenues from certain Korean customers.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Grid business unit accounted for 34% of total revenues in fiscal 2013 and 49% in fiscal 2012. Grid revenue decreased 34% to $28.5 million in fiscal 2013 from $43.2 million in fiscal 2012. The decrease in revenues was primarily due to lower D-VAR system revenues in existing markets such as United Kingdom and Australia partially offset by higher revenues from customers in emerging markets such as South Africa.</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Revenues from Project HYDRA represented 7% and 5% of our Grid business unit’s revenue for fiscal 2013 and 2012, respectively. On July 8, 2013, DHS committed the final $8.6 million in funding on Project HYDRA. DHS has committed 100% of the total expected funding for this project as of March 31, 2014. Consolidated Edison and Southwire Company are our subcontractors on this project.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Cost of revenues increased by 1% to $72.9 million in fiscal 2013, compared to $71.9 million in fiscal 2012. Gross margin decreased to 13.4% in fiscal 2013 from 17.7% in fiscal 2012. The decrease in gross margin in fiscal 2013 was driven primarily by recoveries of adverse purchase commitments in fiscal 2012, partially offset by the realization of benefits from cost reduction activities undertaken in fiscal 2013 and fiscal 2012.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692"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Fiscal 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vMerge w:val="restart"/>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2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280" w:type="dxa"/>
            <w:vAlign w:val="bottom"/>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12,173</w:t>
            </w:r>
          </w:p>
        </w:tc>
        <w:tc>
          <w:tcPr>
            <w:tcW w:w="44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R&amp;D expenditures reclassified as cost of revenues</w:t>
            </w: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10,387</w:t>
            </w: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R&amp;D expenditures offset by cost-sharing funding</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Aggregated R&amp;D expenses</w:t>
            </w:r>
          </w:p>
        </w:tc>
        <w:tc>
          <w:tcPr>
            <w:tcW w:w="1280" w:type="dxa"/>
            <w:vAlign w:val="bottom"/>
            <w:tcBorders>
              <w:bottom w:val="single" w:sz="8" w:color="auto"/>
            </w:tcBorders>
            <w:shd w:val="clear" w:color="auto" w:fill="CFF0FC"/>
          </w:tcPr>
          <w:p>
            <w:pPr>
              <w:jc w:val="right"/>
              <w:ind w:right="11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22,852</w:t>
            </w: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R&amp;D expenses (exclusive of amounts classified as cost of revenues and amounts offset by cost-sharing funding) decreased by 21% to $12.2 million, or 14% of revenue, for fiscal 2013 from $15.3 million, or 18% of revenue, for fiscal 2012. The decrease in R&amp;D expenses was primarily due to decreased headcount and related labor spending as a result of restructuring activities undertaken in fiscal 2013 and fiscal 2012. The decrease in R&amp;D expenditures reclassified to cost of revenue was primarily driven by a reduction in related spending required to support license and development for our Wind customers. Aggregated R&amp;D expenses, which include amounts classified as cost of revenues and amounts offset by cost-sharing funding, decreased 21% to $22.9 million, or 27% of revenue, for fiscal 2013, compared to $28.7 million, or 33% of revenue, for fiscal 2012. The decrease in fiscal 2013 was driven primarily by the net impact of the factors described above.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SG&amp;A expenses decreased by 25% to $37.2 million, or 44% of revenue, in fiscal 2013 from $49.7 million, or 57% of revenue, in fiscal 2012. Fiscal 2012 SG&amp;A expenses included approximately $0.7 million in legal expenses related to the issue with Sinovel and $1.8 million for a contingent liability to settle a class action shareholder lawsuit filed against the Company in 2011. The decrease in SG&amp;A expenses in fiscal 2013 was primarily due to the benefit from cost reduction activities in fiscal 2013 and fiscal 2012, as well as the aforementioned charges in fiscal 2012.</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acquisition related intangibles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recorded $0.3 million in fiscal 2013 and $0.3 million in fiscal 2012 in amortization expense related to our core technology and know-how, and trade names and trademark intangible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Restructuring and impairments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recorded restructuring and impairment charges of $3.0 million in fiscal 2013, compared to $7.9 million in fiscal 2012. For fiscal 2013, this primarily consists of employee severance costs of $1.7 million and an impairment charge of $1.3 million for our minority investment in Blade Dynamics. For fiscal 2012, these amounts consist primarily of a long-lived asset impairment charge of $5.0 million, employee severance and benefit costs of $2.5 million and facility exit costs of $0.4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5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Fiscal Years Ended</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wp:posOffset>
            </wp:positionV>
            <wp:extent cx="2752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(5,213)</w:t>
            </w:r>
          </w:p>
        </w:tc>
        <w:tc>
          <w:tcPr>
            <w:tcW w:w="4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8"/>
              </w:rPr>
              <w:t>(16,098)</w:t>
            </w:r>
          </w:p>
        </w:tc>
        <w:tc>
          <w:tcPr>
            <w:tcW w:w="0" w:type="dxa"/>
            <w:vAlign w:val="bottom"/>
          </w:tcPr>
          <w:p>
            <w:pPr>
              <w:spacing w:after="0"/>
              <w:rPr>
                <w:sz w:val="1"/>
                <w:szCs w:val="1"/>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Grid</w:t>
            </w:r>
          </w:p>
        </w:tc>
        <w:tc>
          <w:tcPr>
            <w:tcW w:w="124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(22,523)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ind w:left="900"/>
              <w:spacing w:after="0"/>
              <w:rPr>
                <w:sz w:val="20"/>
                <w:szCs w:val="20"/>
                <w:color w:val="auto"/>
              </w:rPr>
            </w:pPr>
            <w:r>
              <w:rPr>
                <w:rFonts w:ascii="Arial" w:cs="Arial" w:eastAsia="Arial" w:hAnsi="Arial"/>
                <w:sz w:val="18"/>
                <w:szCs w:val="18"/>
                <w:color w:val="auto"/>
                <w:w w:val="98"/>
              </w:rPr>
              <w:t>(23,815)</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Unallocated corporate expenses</w:t>
            </w:r>
          </w:p>
        </w:tc>
        <w:tc>
          <w:tcPr>
            <w:tcW w:w="1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(13,693)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8"/>
              </w:rPr>
              <w:t>(17,828)</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(41,429)</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3"/>
              </w:rPr>
              <w:t>(57,741)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Wind generated an operating loss of $5.2 million in fiscal 2013 compared to an operating loss of $16.1 million in fiscal 2012. The decrease in operating loss for fiscal 2013 was primarily attributable to higher revenues, including revenues recognized upon payment from certain Chinese customers for which costs were previously recognized in a prior year, and the benefit of our cost reduction efforts described above.</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Grid operating loss decreased to $22.5 million in fiscal 2013 from $23.8 million in fiscal 2012. The decrease in operating loss for fiscal 2013 is primarily attributed to the benefits from our cost reduction efforts described above partially offset by lower revenues.</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Unallocated corporate expenses in fiscal 2013 included restructuring and impairment charges of $3.0 million, and $10.7 million in stock-based compensation expense. Unallocated corporate expenses in fiscal 2012 included restructuring and impairment charges of $7.9 million, $8.1 million in stock-based compensation expense and a loss contingency of $1.8 million related to the class action shareholder lawsuit.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change in fair value of derivatives and warrants resulted in gains of $1.9 million in fiscal 2013 and $7.6 million in fiscal 2012. The gains were driven by mark-to-market adjustments due primarily to our lower stock price on the derivative liabilities and a reduction in the principal outstanding on the Exchanged Note with CVI due to payments to the note holder in shares of common stock.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recorded a $5.2 million loss in fiscal 2013 related to extinguishment of our Exchanged Note with CVI in exchange for approximately 663,000 shares of common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Interest expense, net was $9.7 million in fiscal 2013 compared to $14.9 million for fiscal 2012. The decrease in interest expense, net was primarily driven by lower non cash interest expense due to the conversion of the remaining outstanding balance on the Exchanged Note into common stock on March 2, 2014 at a discount. Since this transaction extinguished the debt, the impact, a charge of $5.2 million, is recorded as a loss on extinguishment of debt as opposed to non-cash interest expense for previous payments made under the note in shares of common stock issued at a discount.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Other expense, net was $1.0 million in fiscal 2013, compared to $1.3 million in fiscal 2012. The decrease in other expense, net was due primarily to lower minority interest due to accounting for our investment in Blade Dynamics under the cost method in fiscal 2013, compared to the equity method in fiscal 2012, partially offset by a net foreign exchange loss in fiscal 2013, compared to a net gain in fiscal 2012.</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recorded income tax expense of $0.9 million in fiscal 2013, compared to a benefit of $0.3 million in fiscal 2012. The increase in income tax expense was driven primarily by a refund of Chinese income taxes of $0.9 million in fiscal 2012. Certain asset write-offs in our foreign jurisdictions are considered permanent differences and are not tax deductible. Other asset write-offs, such as inventory and prepaid value-added taxes in China in fiscal 2010, are not currently deductible and result in deferred tax assets. Due to uncertainty around the realization of these deferred tax assets, they have been fully reserved as of the end of the fiscal years ended March 31, 2013 and March 31, 2014.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10-K, however, should be considered in addition to, and not as a substitute for, or superior to, the comparable measure prepared in accordance with GAAP.</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define non-GAAP net loss as net loss before adverse purchase commitment (recoveries) losses, net, stock-based compensation, amortization of acquisition-related intangibles, restructuring and impairment charges, changes in fair value of derivatives and warrants, non-cash interest expense, and the other non-cash or unusual items indicated in the table below. We believe non-GAAP net loss assists management and investors in comparing our performance across reporting periods on a consistent basis by excluding these non-cash or non-recurring charges that we do not believe are indicative of our core operating performance. We also regard non-GAAP net loss as a useful measure of operating performance which more closely aligns net loss with cash used in/provided by continuing operations. In addition, we use non-GAAP net loss as a factor in evaluating management’s performance when determining incentive compensation and to evaluate the effectiveness of our business strategies. A reconciliation of non-GAAP to GAAP net loss is set forth in the table below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8"/>
              </w:rPr>
              <w:t>Year ended March 31,</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jc w:val="right"/>
              <w:ind w:right="761"/>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9"/>
              </w:rPr>
              <w:t>(48,656)</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(56,258)</w:t>
            </w:r>
          </w:p>
        </w:tc>
        <w:tc>
          <w:tcPr>
            <w:tcW w:w="5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Adverse purchase commitment (recoveries) losses,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Arbitration award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acquisition-related intangibles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Sinovel litigation</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Contingency for shareholder lawsuit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Consumption of zero cost-basis inventory</w:t>
            </w: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(7,982)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(4,308)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Prepaid VAT reserve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derivatives and warrants</w:t>
            </w:r>
          </w:p>
        </w:tc>
        <w:tc>
          <w:tcPr>
            <w:tcW w:w="9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Non-cash interest expense</w:t>
            </w:r>
          </w:p>
        </w:tc>
        <w:tc>
          <w:tcPr>
            <w:tcW w:w="9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Non-GAAP net loss</w:t>
            </w:r>
          </w:p>
        </w:tc>
        <w:tc>
          <w:tcPr>
            <w:tcW w:w="920" w:type="dxa"/>
            <w:vAlign w:val="bottom"/>
            <w:tcBorders>
              <w:bottom w:val="single" w:sz="8" w:color="auto"/>
            </w:tcBorders>
          </w:tcPr>
          <w:p>
            <w:pPr>
              <w:jc w:val="right"/>
              <w:ind w:right="761"/>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(39,589)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(34,103)</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Non-GAAP loss per share</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jc w:val="both"/>
        <w:ind w:firstLine="518"/>
        <w:spacing w:after="0" w:line="302" w:lineRule="auto"/>
        <w:rPr>
          <w:sz w:val="20"/>
          <w:szCs w:val="20"/>
          <w:color w:val="auto"/>
        </w:rPr>
      </w:pPr>
      <w:r>
        <w:rPr>
          <w:rFonts w:ascii="Arial" w:cs="Arial" w:eastAsia="Arial" w:hAnsi="Arial"/>
          <w:sz w:val="16"/>
          <w:szCs w:val="16"/>
          <w:color w:val="auto"/>
        </w:rPr>
        <w:t>We generated a non-GAAP net loss of $39.6 million, or $4.67 per share, for fiscal 2014, compared to $34.1 million, or $5.45 per share, for fiscal 2013, and $52.3 million, or $9.85 per share, for fiscal 2012. The increase in non-GAAP net loss in fiscal 2014 over 2013 was primarily related to lower revenues in fiscal 2014 and mix of higher margin revenue with no cost in fiscal 2013 from Chinese and other customers. The decrease in non-GAAP net loss in fiscal 2013 over 2012 was primarily related to the benefits from cost reductions initiated in fiscal 2012 and fiscal 2013 that were realized in fiscal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Our cash requirements depend on numerous factors, including the successful completion of our product development activities, our ability to commercialize our REG and ship protection system solutions, rate of customer and market adoption of our products, collecting receivables according to established terms, and the continued availability of U.S. government funding during the product development phase of our Superconductors-based products. During the first half of fiscal 2015, we expect to announce an additional city conducting a deployment study of our REG system, to receive a large wind order for our electrical control systems, and new orders for our D-VAR systems. In the longer term, we expect to have a decision on moving to the manufacturing and construction phase of Project REG and we expect to receive additional business from the U.S. Navy.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w:t>
      </w:r>
    </w:p>
    <w:p>
      <w:pPr>
        <w:spacing w:after="0" w:line="8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8"/>
          <w:szCs w:val="18"/>
          <w:color w:val="auto"/>
        </w:rPr>
        <w:t>At March 31, 2015, we had cash, cash equivalents, and restricted cash of $24.5 million, compared to $49.4 million at March 31, 2014, a decrease of $24.9 million. Our cash, cash equivalents, and restricted cash are summarized as follows (in thousands):</w:t>
      </w: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3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1360" w:type="dxa"/>
            <w:vAlign w:val="bottom"/>
          </w:tcPr>
          <w:p>
            <w:pPr>
              <w:jc w:val="right"/>
              <w:ind w:right="167"/>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7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9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360" w:type="dxa"/>
            <w:vAlign w:val="bottom"/>
            <w:tcBorders>
              <w:top w:val="single" w:sz="8" w:color="auto"/>
            </w:tcBorders>
          </w:tcPr>
          <w:p>
            <w:pPr>
              <w:jc w:val="right"/>
              <w:ind w:right="12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3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360" w:type="dxa"/>
            <w:vAlign w:val="bottom"/>
            <w:tcBorders>
              <w:bottom w:val="single" w:sz="8" w:color="auto"/>
            </w:tcBorders>
          </w:tcPr>
          <w:p>
            <w:pPr>
              <w:jc w:val="right"/>
              <w:ind w:right="12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24,549</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2015, we had approximately $5.2 million of cash, cash equivalents, and restricted cash in foreign bank accounts.</w:t>
      </w:r>
    </w:p>
    <w:p>
      <w:pPr>
        <w:spacing w:after="0" w:line="22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decrease in total cash and cash equivalents, and restricted cash was due primarily to cash used in operations and a settlement payment made to Ghodawat, partially offset by the proceeds from our financings in fiscal 2014. See further discussion below.</w:t>
      </w:r>
    </w:p>
    <w:p>
      <w:pPr>
        <w:spacing w:after="0" w:line="17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Net cash used in operating activities was $32.7 million, $13.3 million and $45.3 million in fiscal 2014, 2013 and 2012, respectively. The increase in fiscal 2014 compared to fiscal 2013 was primarily driven by our higher net loss exclusive of non-cash items, the arbitration settlement payment to Ghodawat, and less cash generated by working capital in fiscal 2014 compared to fiscal 2013. The decrease in fiscal 2013 compared to fiscal 2012 was primarily driven by a lower net loss and cash generated by working capital in fiscal 2013 compared to cash used for working capital in fiscal 2012. We plan to closely monitor our expenses and, if required, expect to further reduce operating costs and capital spending to enhance liquidity.</w:t>
      </w:r>
    </w:p>
    <w:p>
      <w:pPr>
        <w:spacing w:after="0" w:line="17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Net cash provided by investing activities was $1.8 million, $4.0 million and $7.4 million in fiscal 2014, 2013 and 2012, respectively. The decrease in net cash provided by investing activities in fiscal 2014 compared to fiscal 2013 was driven primarily by a decrease in the change for restricted cash. The decrease in net cash provided by investing activities in fiscal 2013 compared to fiscal 2012 was driven primarily by a decrease in proceeds from the maturity of marketable securities of $5.3 million, partially offset by a decrease in capital expenditures of $1.2 million from the prior year.</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Net cash provided by financing activities was $8.8 million, $12.8 and $31.2 million in fiscal 2014, 2013 and 2012, respectively. The decrease in cash provided by financing activities in fiscal 2014 compared to fiscal 2013 is primarily due to the net proceeds received from our debt arrangements in fiscal 2013 and an increase in repayment under these debt arrangements in fiscal 2014, partially offset by net proceeds from a public equity offering in November 2014. The decrease in cash provided by financing activities in fiscal 2013 compared to fiscal 2012 is primarily due to the net proceeds received from our debt arrangements in fiscal 2012 and an increase in repayment under these debt arrangements in fiscal 2013, partially offset by net proceeds received from sales under our At-Market Sales Arrangement (“ATM”) in fiscal 2013.</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At March 31, 2015 and 2014, we had $2.8 million and $2.9 million, respectively, of restricted cash included in current assets, and $1.2 million and $3.4 million of restricted cash included in long-term assets as of March 31, 2015 and 2014, respectively. These amounts included in restricted cash primarily represent deposits to secure surety bonds and letters of credit for various customer contracts. These deposits are held in interest bearing accounts.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518"/>
        <w:spacing w:after="0" w:line="270" w:lineRule="auto"/>
        <w:rPr>
          <w:sz w:val="20"/>
          <w:szCs w:val="20"/>
          <w:color w:val="auto"/>
        </w:rPr>
      </w:pPr>
      <w:r>
        <w:rPr>
          <w:rFonts w:ascii="Arial" w:cs="Arial" w:eastAsia="Arial" w:hAnsi="Arial"/>
          <w:sz w:val="17"/>
          <w:szCs w:val="17"/>
          <w:color w:val="auto"/>
        </w:rPr>
        <w:t>On May 16, 2012, we entered into an agreement with one of our suppliers to settle certain of our adverse purchase commitments. The agreement was amended on November 6, 2012 (as amended, the “Settlement Agreement”). In conjunction with the Settlement Agreement, we agreed to pay the supplier approximately €2.2 million (the “Settlement Amount”). Under the Settlement Agreement, we had the option, at our sole discretion, to pay the settlement amount in cash, shares of our common stock, or a combination of cash and common stock. Accordingly, during the three months ended December 31, 2012, we issued 76,530 shares of our common stock to the supplier and filed a registration statement on Form S-3 to register the supplier’s resale of such shares of common stock under the terms of the Settlement Agreement. If the net proceeds from the supplier’s resale of the shares of common stock during a specified period plus any other cash payments made by us subsequent to the date of the Settlement Agreement were less than the Settlement Amount, we agreed to make an additional payment equal to the shortfall in cash to the supplier no later than December 31, 2012. As of December 31, 2012, we paid $0.8 million as a result of such a shortfall.</w:t>
      </w:r>
    </w:p>
    <w:p>
      <w:pPr>
        <w:spacing w:after="0" w:line="18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April 4, 2012, we entered into a Securities Purchase Agreement with CVI, an affiliate of Heights Capital Management (the “Purchase Agreement”) and completed a private placement of a $25.0 million 7% senior convertible note (the “Initial Note”). After fees and expenses, the net proceeds were $23.2 million. The Initial Note had an initial conversion price of $48.50 per share, representing a premium of approximately 20% over our closing price on April 3, 2012. The Initial Note was payable in monthly installments beginning four months from issuance and ending on October 4, 2014. Monthly payments were payable in cash or shares of our common stock at our option, subject to certain trading volume, stock price and other conditions. CVI could also elect to defer receipt of monthly installment payments at its option. Any deferred installment payments would continue to accrue interest. We registered 1,026,231 shares of our common stock which may be used as payment for principal and interest in lieu of cash for resale under the Securities Act of 1933, as amended as required under a Registration Rights Agreement with CVI.</w:t>
      </w:r>
    </w:p>
    <w:p>
      <w:pPr>
        <w:spacing w:after="0" w:line="17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December 20, 2012, we entered into an Amendment and Exchange Agreement, (the “Amendment”) with CVI, which amended the Purchase Agreement. Pursuant to the Amendment, the Company and CVI exchanged the Initial Note for the Exchanged Note. Among the amendments entered into as part of the Exchanged Note was a reduction in the conversion price from $48.50 per share of our common stock to $31.90 per share of our common stock, subject to certain price based and other anti-dilution adjustments.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9, 2013, we entered into a Second Amendment and Warrant Exchange Agreement (the “Second Amendment”) with CVI. The Second Amendment further amended the Securities Purchase Agreement, as amended by the First Amendment and Exchange Agreement dated December 20, 2012 (collectively, the “Amended Purchase Agreement”), that we previously entered into with CVI.</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Pursuant to the Second Amendment, we and/or CVI (i) waived certain provisions of the Amended Purchase Agreement, and (ii) amended certain provisions of the Exchanged Note, specifically,</w:t>
      </w:r>
    </w:p>
    <w:p>
      <w:pPr>
        <w:spacing w:after="0" w:line="62" w:lineRule="exact"/>
        <w:rPr>
          <w:sz w:val="20"/>
          <w:szCs w:val="20"/>
          <w:color w:val="auto"/>
        </w:rPr>
      </w:pPr>
    </w:p>
    <w:p>
      <w:pPr>
        <w:jc w:val="both"/>
        <w:ind w:left="1020" w:right="20" w:hanging="358"/>
        <w:spacing w:after="0" w:line="286"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CVI waived its rights under the Amended Purchase Agreement to participate in (i) specific types of offerings that may be conducted by the Company with respect to our currently effective Registration Statement on Form S-3 (Registration No. 333-191153), and (ii) the issuance of shares of common stock in connection with any settlement of currently outstanding litigation involving us;</w:t>
      </w:r>
    </w:p>
    <w:p>
      <w:pPr>
        <w:spacing w:after="0" w:line="57" w:lineRule="exact"/>
        <w:rPr>
          <w:rFonts w:ascii="Arial" w:cs="Arial" w:eastAsia="Arial" w:hAnsi="Arial"/>
          <w:sz w:val="17"/>
          <w:szCs w:val="17"/>
          <w:color w:val="auto"/>
        </w:rPr>
      </w:pPr>
    </w:p>
    <w:p>
      <w:pPr>
        <w:ind w:left="1020" w:hanging="358"/>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CVI amended the Exchanged Note:</w:t>
      </w:r>
    </w:p>
    <w:p>
      <w:pPr>
        <w:spacing w:after="0" w:line="117" w:lineRule="exact"/>
        <w:rPr>
          <w:rFonts w:ascii="Arial" w:cs="Arial" w:eastAsia="Arial" w:hAnsi="Arial"/>
          <w:sz w:val="18"/>
          <w:szCs w:val="18"/>
          <w:color w:val="auto"/>
        </w:rPr>
      </w:pPr>
    </w:p>
    <w:p>
      <w:pPr>
        <w:jc w:val="both"/>
        <w:ind w:left="1600" w:right="20" w:hanging="360"/>
        <w:spacing w:after="0" w:line="264" w:lineRule="auto"/>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increase the period during which CVI is allowed to accelerate payment in shares of common stock at the then current installment date conversion price from such installment date until the trading day before the next installment notice due date to the entire period from such installment date until the trading day before the next installment date;</w:t>
      </w:r>
    </w:p>
    <w:p>
      <w:pPr>
        <w:spacing w:after="0" w:line="73" w:lineRule="exact"/>
        <w:rPr>
          <w:rFonts w:ascii="Arial" w:cs="Arial" w:eastAsia="Arial" w:hAnsi="Arial"/>
          <w:sz w:val="18"/>
          <w:szCs w:val="18"/>
          <w:color w:val="auto"/>
        </w:rPr>
      </w:pPr>
    </w:p>
    <w:p>
      <w:pPr>
        <w:ind w:left="1600" w:right="20" w:hanging="360"/>
        <w:spacing w:after="0" w:line="277" w:lineRule="auto"/>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increase the aggregate outstanding principal amount under the definition of “permitted senior indebtedness” from $10 million to $15 million; and</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and CVI exchanged the Original Warrant for a new Warrant with a reduced exercise price of $26.10 per share of common stock.</w:t>
      </w:r>
    </w:p>
    <w:p>
      <w:pPr>
        <w:spacing w:after="0" w:line="23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March 2, 2014, we entered into an Exchange Agreement with CVI, pursuant to which we exchanged the Exchanged Note for approximately 663,000 shares of our common stock and extinguished the debt.</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June 5, 2012, we entered into a Term Loan with Hercules Technology Growth Capital, Inc. (“Hercules”), under which we borrowed $10.0 million. After the closing fees and expenses, the net proceeds were $9.7 million. The Term Loan bears an interest rate equal to 11% plus the percentage, if any, in which the prime rate as reported by The Wall Street Journal exceeds 3.75%. We made interest only payments from July 1, 2012 through October 31, 2012, after which we began paying the Term Loan in equal monthly installments ending on December 1, 2014, when the loan was repaid in full.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518"/>
        <w:spacing w:after="0" w:line="297" w:lineRule="auto"/>
        <w:rPr>
          <w:sz w:val="20"/>
          <w:szCs w:val="20"/>
          <w:color w:val="auto"/>
        </w:rPr>
      </w:pPr>
      <w:r>
        <w:rPr>
          <w:rFonts w:ascii="Arial" w:cs="Arial" w:eastAsia="Arial" w:hAnsi="Arial"/>
          <w:sz w:val="16"/>
          <w:szCs w:val="16"/>
          <w:color w:val="auto"/>
        </w:rPr>
        <w:t>On November 15, 2013, we amended the Term Loan with Hercules and entered into the New Term Loan B, borrowing an additional $10.0 million. After closing fees and expenses, we received net proceeds of $9.8 million. The New Term Loan B also bears the same interest rate as the Term Loan. We made interest-only payments from December 1, 2013 to May 31, 2014. If we achieved certain revenue targets for the six-month period ending March 31, 2014, interest only payments would continue through August 31, 2014. We did not achieve the revenue required to extend this interest only period. Beginning June 1, 2014, we began making payments on the New Term Loan B in equal monthly installments which will end on November 1, 2016.</w:t>
      </w:r>
    </w:p>
    <w:p>
      <w:pPr>
        <w:spacing w:after="0" w:line="15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December 19, 2014, we entered into an amendment with Hercules (the “Hercules Second Amendment”) and entered into the New Term Loan C, borrowing an additional $1.5 million (we collectively refer to the Term Loan, the New Term Loan B, and New Term Loan C as the “Term Loans”). After closing fees and expenses, the net proceeds for the New Term Loan C were $1.4 million. The New Term Loan C also bears the same interest rate as the other Term Loans. We will make interest only payments until maturity on March 1, 2017, when the loan is scheduled to be repaid in its entirety. As a result of the April 2015 offering (see discussion below), the maturity date of the loan has been extended to June 1, 2017.</w:t>
      </w:r>
    </w:p>
    <w:p>
      <w:pPr>
        <w:spacing w:after="0" w:line="173"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Term Loans are secured by substantially all of our existing and future assets, including a mortgage on real property owned by our wholly-owned subsidiary, ASC Devens LLC, and located at 64 Jackson Road, Devens, Massachusetts. The Term Loans contain certain covenants that restrict our ability to, among other things, incur or assume certain debt, merge or consolidate, materially change the nature of our business, make certain investments, acquire or dispose of certain assets, make guaranties or grant liens on our assets, make certain loans, advances or investments, declare dividends or make distributions or enter into transactions with affiliates. In addition, there is a covenant that requires us to maintain a minimum unrestricted cash balance (the “Minimum Threshold”) in the United States. As part of the Hercules Second Amendment, this Minimum Threshold was amended to be the lower of $5.0 million or the aggregate outstanding principal balance of the Term Loans. As of March 31, 2015, the Minimum Threshold was $5.0 million. As a result of the April 2015 offering (see discussion below), the Minimum Threshold was reduced to the lesser of $2.0 million or the aggregate outstanding principal balance of the Term Loans. The events of default under the Term Loans include, but are not limited to, failure to pay amounts due, breaches of covenants, bankruptcy events, cross defaults under other material indebtedness and the occurrence of a material adverse effect and/or change in control. In the case of a continuing event of default, Hercules may, among other remedies, declare due all unpaid principal amounts outstanding and any accrued but unpaid interest and foreclose on all collateral granted to Hercules as security under the Term Loans.</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believe we are in and expect to remain in compliance with the covenants and restrictions under the Term Loans as of the date of this Annual Report on Form 10-K. If we fail to stay in compliance with our covenants or experience some other event of default, we may be forced to repay the outstanding principal on the Term Loans.</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November 15, 2013, we entered into an ATM arrangement, pursuant to which, we were able to, at our discretion, sell up to $30.0 million of our common stock through our sales agent, MLV &amp; Co. LLC (“MLV”). Sales of common stock made under the ATM were made on the Nasdaq Global Select Market under our previously filed and currently effective Registration Statement on Form S-3 (File No. 333-191153) by means of ordinary brokers’ transactions at market prices. Under the terms of the ATM, we were able to sell shares of our common stock through MLV, on the Nasdaq Global Select Market or otherwise, at negotiated prices or at prices related to the prevailing market price. Under the terms of the ATM, MLV could not engage in any proprietary trading or trading as principal for MLV’s own account. MLV used its commercially reasonable efforts to sell our common stock from time to time, based upon the our instructions (including any price, time or size limits or other customary parameters or conditions we may impose). We paid MLV a commission of up to 3% of the gross proceeds from the sale of shares of our common stock under the ATM. We also agreed to provide MLV with customary indemnification rights. We terminated the ATM arrangement on November 5, 2014. During the term of the arrangement, we received aggregate net proceeds of approximately $13.5 million from the sale of approximately 862,000 shares of our common stock.</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On November 13, 2014, we completed an equity offering, under which we sold 909,090 units of our common stock at $11.00 per unit (adjusted to reflect our 1-for-10 reverse stock split on March 24, 2015) to Hudson Bay Capital. Each unit consisted of one share of common stock and 0.90 of a warrant to purchase one share of common stock, or a warrant to purchase in the aggregate 818,181 shares of common stock. After the underwriting discount and estimated offering expenses, we received net proceeds from the offering of approximately $9.1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295"/>
        <w:spacing w:after="0" w:line="255" w:lineRule="auto"/>
        <w:rPr>
          <w:sz w:val="20"/>
          <w:szCs w:val="20"/>
          <w:color w:val="auto"/>
        </w:rPr>
      </w:pPr>
      <w:r>
        <w:rPr>
          <w:rFonts w:ascii="Arial" w:cs="Arial" w:eastAsia="Arial" w:hAnsi="Arial"/>
          <w:sz w:val="18"/>
          <w:szCs w:val="18"/>
          <w:color w:val="auto"/>
        </w:rPr>
        <w:t>We have experienced recurring operating losses and as of March 31, 2015, had an accumulated deficit of $905.0 million. In addition, we have experienced recurring negative operating cash flows. At March 31, 2015 we had cash and cash equivalents of $20.5 million, as compared to cash used in operations of $32.7 million for the year ended March 31, 2015 which includes approximately $8.4 million for the payment of our arbitration award liability to Ghodawat. On April 29, 2015 we completed an equity offering which raised net proceeds of $22.3 million after deducting underwriting discounts and commissions and estimated offering expenses payable by us from the sale of 4,000,000 shares of our common stock at a public offering price of $6.00 per share. In addition, we are actively seeking to sell our minority investments in Tres Amigas and Blade Dynamics. There can be no assurance that we will be able to sell these investments on commercially reasonable terms or at all.</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believe we have sufficient available liquidity, when taking into account the $22.3 million proceeds received in the April 2015 offering to fund our operations, capital expenditures and scheduled cash payments under our debt obligations for the next twelve months. Our liquidity is highly dependent on our ability to increase revenues, control our operating costs, and our ability to maintain compliance with the covenants and restrictions on our debt obligations (or obtain waivers from our lender in the event of non-compliance).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are involved in legal and administrative proceedings and claims of various types. See Part I, Item 3,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If the loss is not probable or cannot be reasonably estimated, a liability is not recorded in our consolidated financial statements.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we have various contractual arrangements in which minimum quantities of goods or services have been committed to be purchased on an annual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Operating leases include minimum payments under leases for our facilities and certain equipment; see Item 2, “Properties,” for more information. Purchase commitments represent enforceable and legally binding agreements with suppliers to purchase goods or services. As of March 31, 2015, we are committed to make the following payments under contractual obligations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215"/>
        </w:trPr>
        <w:tc>
          <w:tcPr>
            <w:tcW w:w="3740" w:type="dxa"/>
            <w:vAlign w:val="bottom"/>
            <w:vMerge w:val="restart"/>
          </w:tcPr>
          <w:p>
            <w:pPr>
              <w:spacing w:after="0"/>
              <w:rPr>
                <w:sz w:val="20"/>
                <w:szCs w:val="20"/>
                <w:color w:val="auto"/>
              </w:rPr>
            </w:pPr>
            <w:r>
              <w:rPr>
                <w:rFonts w:ascii="Arial" w:cs="Arial" w:eastAsia="Arial" w:hAnsi="Arial"/>
                <w:sz w:val="18"/>
                <w:szCs w:val="18"/>
                <w:color w:val="auto"/>
              </w:rPr>
              <w:t>Non-cancellable purchase commitments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12,356</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12,261</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Senior term loan</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Operating leases (rent)</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(other)</w:t>
            </w:r>
          </w:p>
        </w:tc>
        <w:tc>
          <w:tcPr>
            <w:tcW w:w="8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8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24,082</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May 2014, the FASB and the International Accounting Standards Board (IASB) issued, </w:t>
      </w:r>
      <w:r>
        <w:rPr>
          <w:rFonts w:ascii="Arial" w:cs="Arial" w:eastAsia="Arial" w:hAnsi="Arial"/>
          <w:sz w:val="18"/>
          <w:szCs w:val="18"/>
          <w:i w:val="1"/>
          <w:iCs w:val="1"/>
          <w:color w:val="auto"/>
        </w:rPr>
        <w:t>ASU Revenue from Contracts with Customers 2014-09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The guidance substantially converges final standards on revenue recognition between the FASB and IASB providing a framework on addressing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issues and, upon its effective date, replaces almost all existing revenue recognition guidance, including industry-specific guidance, in current U.S. generally accepted accounting principles. The ASU is effective for annual reporting periods beginning after December 15, 2016. The FASB is currently considering a proposed one year extension of the effective date to December 15, 2017. We are currently evaluating the impact of adopting ASU 2014-09 to determine the impact, if any, it may have on our current practices.</w:t>
      </w:r>
    </w:p>
    <w:p>
      <w:pPr>
        <w:spacing w:after="0" w:line="19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July 2014, the FASB issued ASU 2014-12, </w:t>
      </w:r>
      <w:r>
        <w:rPr>
          <w:rFonts w:ascii="Arial" w:cs="Arial" w:eastAsia="Arial" w:hAnsi="Arial"/>
          <w:sz w:val="17"/>
          <w:szCs w:val="17"/>
          <w:i w:val="1"/>
          <w:iCs w:val="1"/>
          <w:color w:val="auto"/>
        </w:rPr>
        <w:t>Compensation – Stock Compensation (Topic 718): Accounting for Share Based Payments When the 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Award Provide that a Performance Target Could be Achieved after the Requisite Service Period. </w:t>
      </w:r>
      <w:r>
        <w:rPr>
          <w:rFonts w:ascii="Arial" w:cs="Arial" w:eastAsia="Arial" w:hAnsi="Arial"/>
          <w:sz w:val="17"/>
          <w:szCs w:val="17"/>
          <w:color w:val="auto"/>
        </w:rPr>
        <w:t>To account for such awards, a reporting entity should apply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existing guidance in FASB Accounting Standards Codification </w:t>
      </w:r>
      <w:r>
        <w:rPr>
          <w:rFonts w:ascii="Arial" w:cs="Arial" w:eastAsia="Arial" w:hAnsi="Arial"/>
          <w:sz w:val="17"/>
          <w:szCs w:val="17"/>
          <w:i w:val="1"/>
          <w:iCs w:val="1"/>
          <w:color w:val="auto"/>
        </w:rPr>
        <w:t>Topic 718, Compensation – Stock Compensation</w:t>
      </w:r>
      <w:r>
        <w:rPr>
          <w:rFonts w:ascii="Arial" w:cs="Arial" w:eastAsia="Arial" w:hAnsi="Arial"/>
          <w:sz w:val="17"/>
          <w:szCs w:val="17"/>
          <w:color w:val="auto"/>
        </w:rPr>
        <w:t>, as it relates to awards with performance conditions that affect vesting. As such, the performance target should not be reflected in estimating the grant-date fair value of the award. This ASU is effective for annual reporting periods and interim periods, within those annual periods beginning after December 15, 2015. We are currently evaluating the impact of adopting ASU 2014-12 to determine the impact, if any, it may have on our current practices.</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August 2014, the FASB issued ASU 2014-13, </w:t>
      </w:r>
      <w:r>
        <w:rPr>
          <w:rFonts w:ascii="Arial" w:cs="Arial" w:eastAsia="Arial" w:hAnsi="Arial"/>
          <w:sz w:val="17"/>
          <w:szCs w:val="17"/>
          <w:i w:val="1"/>
          <w:iCs w:val="1"/>
          <w:color w:val="auto"/>
        </w:rPr>
        <w:t>Consolidation (Topic 810): Measuring the Financial Assets and Financial Liabilities of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Consolidated Collateralized Financing Entity. </w:t>
      </w:r>
      <w:r>
        <w:rPr>
          <w:rFonts w:ascii="Arial" w:cs="Arial" w:eastAsia="Arial" w:hAnsi="Arial"/>
          <w:sz w:val="17"/>
          <w:szCs w:val="17"/>
          <w:color w:val="auto"/>
        </w:rPr>
        <w:t>The new standard applies to reporting entities that are required to consolidate a collateralized financing entity</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variable interest entities subsection of subtopic 810-10. This ASU is effective for annual reporting periods ending after December 15, 2016, and interim periods within annual periods beginning after December 15, 2016. We are currently evaluating the impact of adopting ASU 2014-13, but currently do not believe there will be an impact on our consolidated results of operations, financial condition, or cash flow.</w:t>
      </w:r>
    </w:p>
    <w:p>
      <w:pPr>
        <w:spacing w:after="0" w:line="17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 – 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Uncertainties About an Entity’s Ability to Continue as a Going Concern. </w:t>
      </w:r>
      <w:r>
        <w:rPr>
          <w:rFonts w:ascii="Arial" w:cs="Arial" w:eastAsia="Arial" w:hAnsi="Arial"/>
          <w:sz w:val="17"/>
          <w:szCs w:val="17"/>
          <w:color w:val="auto"/>
        </w:rPr>
        <w:t>The new standard explicitly requires the assessment at interim and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provides management with its own disclosure guidance. This ASU is effective for annual reporting periods and interim periods, within those annual periods ending after December 15, 2016. We are currently evaluating the impact of ASU 2014-15, if any, may have on our current practices.</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January 2015, the FASB issued ASU 2015-01 </w:t>
      </w:r>
      <w:r>
        <w:rPr>
          <w:rFonts w:ascii="Arial" w:cs="Arial" w:eastAsia="Arial" w:hAnsi="Arial"/>
          <w:sz w:val="17"/>
          <w:szCs w:val="17"/>
          <w:i w:val="1"/>
          <w:iCs w:val="1"/>
          <w:color w:val="auto"/>
        </w:rPr>
        <w:t>Income Statement—Extraordinary and Unusual Items (Subtopic 225-20): Simplifying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Presentation by Eliminating the Concept of Extraordinary Items. </w:t>
      </w:r>
      <w:r>
        <w:rPr>
          <w:rFonts w:ascii="Arial" w:cs="Arial" w:eastAsia="Arial" w:hAnsi="Arial"/>
          <w:sz w:val="17"/>
          <w:szCs w:val="17"/>
          <w:color w:val="auto"/>
        </w:rPr>
        <w:t>The amendments in ASU 2015-01 eliminate from U.S. GAAP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items. Subtopic 225-20, Income Statement – Extraordinary and Unusual Items, required that an entity separately classify, present, and disclose extraordinary events and transactions. This ASU is effective for annual reporting periods and interim periods, within those annual periods beginning after December 15, 2015. We are currently evaluating the impact of adopting ASU 2015-01 to determine the impact, but currently do not believe there will be an impact on our consolidated results of operations, financial condition, or cash flow.</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xml:space="preserve"> The amendments in ASU 2015-02 updated the process that a reporting entity must follow to determine whether it should consolidate certain types of legal entities. This ASU is effective for annual reporting periods beginning after December 15, 2016, and for interim periods within fiscal years beginning after December 15, 2017. We are currently evaluating the impact of adopting ASU 2015-02 to determine the impact, but currently do not believe there will be an impact on our consolidated results of operations, financial condition, or cash flow.</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Interest—Imputation of Interest (Subtopic 835-30):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Costs. </w:t>
      </w:r>
      <w:r>
        <w:rPr>
          <w:rFonts w:ascii="Arial" w:cs="Arial" w:eastAsia="Arial" w:hAnsi="Arial"/>
          <w:sz w:val="16"/>
          <w:szCs w:val="16"/>
          <w:color w:val="auto"/>
        </w:rPr>
        <w:t>The amendments in ASU 2015-03 require an entity to present debt issuance costs on the balance sheet as a direct deduction from the related debt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as opposed to an asset. Amortization of the costs will continue to be reported as interest expense. This ASU is effective for annual reporting periods beginning after December 15, 2015, and interim periods within those fiscal years. We are currently evaluating the impact of adopting ASU 2015-03 to determine the impact, but currently do not believe there will be an impact on our consolidated results of operations, financial condition, or cash flow.</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believe that other recently issued accounting pronouncements will have a material impact on our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69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80" w:lineRule="exact"/>
        <w:rPr>
          <w:sz w:val="20"/>
          <w:szCs w:val="20"/>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Valuation of long-lived assets;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warranty;</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and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recognize revenue for product sales upon customer acceptance, which can occur at the time of delivery, installation, or post-installation, where applicable, provided persuasive evidence of an arrangement exists, delivery has occurred, the sales price is fixed or determinable and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our contracts involve retention amounts which are contingent upon meeting certain performance requirements through the expiration of the contract warranty periods. For contractual arrangements that involve retention, we recognize revenue for these amounts upon the expiration of the warranty period, meeting the performance requirements and when collection of the fee is reasonably assured.</w:t>
      </w:r>
    </w:p>
    <w:p>
      <w:pPr>
        <w:spacing w:after="0" w:line="189"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For certain of our customers in China, we determined a cash basis of accounting was appropriate. Under this method of accounting, cash is applied first against accounts receivable balances, then costs of shipments (inventory and value-added taxes) before recognizing any gross margin.</w:t>
      </w:r>
    </w:p>
    <w:p>
      <w:pPr>
        <w:spacing w:after="0" w:line="14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product sales, we record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we follow the completed-contract method.</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enter into sales arrangements that may provide for multiple deliverables to a customer. Sales of certain products may include extended warranty and support or service packages, and at times include performance bonds. As these contracts progress, we continually assess the probability of a payout from the performance bond. Should we determine that such a payout is likely; we would record a liability. We would reduce revenue to the extent a liability is recorded. In addition, we enter into licensing arrangements that include training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688" w:right="239" w:bottom="1440" w:gutter="0" w:footer="0" w:header="0"/>
        </w:sectPr>
      </w:pPr>
    </w:p>
    <w:bookmarkStart w:id="47" w:name="page48"/>
    <w:bookmarkEnd w:id="47"/>
    <w:p>
      <w:pPr>
        <w:jc w:val="both"/>
        <w:ind w:firstLine="518"/>
        <w:spacing w:after="0" w:line="286" w:lineRule="auto"/>
        <w:rPr>
          <w:sz w:val="20"/>
          <w:szCs w:val="20"/>
          <w:color w:val="auto"/>
        </w:rPr>
      </w:pPr>
      <w:r>
        <w:rPr>
          <w:rFonts w:ascii="Arial" w:cs="Arial" w:eastAsia="Arial" w:hAnsi="Arial"/>
          <w:sz w:val="16"/>
          <w:szCs w:val="16"/>
          <w:color w:val="auto"/>
        </w:rPr>
        <w:t>Deliverables are separated into more than one unit of accounting when (1) the delivered element(s) have value to the customer on a stand-alone basis, and (2) delivery of the undelivered element(s) is probable and substantially in our control. In general, revenues are separated between the different product shipments which have stand-alone value, and the various services to be provided. Revenue for product shipments is recognized in accordance with our policy for product sales, while revenues for the services are recognized over the period of performance. We have determined that the licenses have no standalone value to the customer and are not separable from training services as we can only fully transfer the technology knowhow through the training component. Accordingly, we account for these arrangements as a single unit of accounting, and recognize revenue over the period of its performance and milestones that have been achieved. Costs for these arrangements are expensed as incurred. We identify all goods and/or services that are to be delivered separately under a sales arrangement and allocate revenue to each deliverable based on the element’s fair value as determined by vendor-specific objective evidence (“VSOE”), which is the price charged when that element is sold separately, or third-party evidence (“TPE”). When VSOE and TPE are unavailable, fair value is based on our best estimate of selling price utilizing a cost plus reasonable margin consistent with how we have set pricing historically for similar products and services. When our estimates are used to determine fair value, we make our estimates using reasonable and objective evidence to determine the price. We review VSOE and TPE at least annually. If we conclude we are unable to establish fair values for one or more undelivered elements within a multiple-element arrangement using VSOE then we use TPE or the best estimate of the selling price for that unit of accounting, being the price at which the vendor would transact if the unit of accounting were sold by the vendor regularly on a standalone basis.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to record taxes collected from customers on a net basis and do not include tax amounts in revenue or costs of revenue.</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Accounts receivable consist of amounts owed by commercial companies and government agencies. Accounts receivable are stated net of allowances for doubtful accounts. Our accounts receivable relate principally to a limited number of customers. As of March 31, 2015, Inox accounted for approximately 56% of our total receivable balance, with no other customers accounting for greater than 10% of the balance. As of March 31, 2014, three customers, Inox, CG Power Solutions UK Ltd., and JCNE, accounted for approximately 20%, 14% and 13%, respectively, of our total receivable balance. Changes in the financial condition or operations of our customers may result in delayed payments or non-payments which would adversely impact our cash flows from operating activities and/or our results of operations. As such we may require collateral, advanced payment or other security based upon the customer history and/or creditworthiness. In determining the allowance for doubtful accounts, we evaluate the collectability of accounts receivable based primarily on the probability of recoverability based on historical collection and write-off experience, the age of past due receivables, specific customer circumstances, and current economic trends. If the financial condition of our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our business, financial condition, results of operations, and cash flows.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or market determined on a first-in, first-out basis. We record inventory when we take delivery and title to the product according to the terms of each supply contract.</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At each balance sheet date, we evaluate our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518"/>
        <w:spacing w:after="0" w:line="291" w:lineRule="auto"/>
        <w:rPr>
          <w:sz w:val="20"/>
          <w:szCs w:val="20"/>
          <w:color w:val="auto"/>
        </w:rPr>
      </w:pPr>
      <w:r>
        <w:rPr>
          <w:rFonts w:ascii="Arial" w:cs="Arial" w:eastAsia="Arial" w:hAnsi="Arial"/>
          <w:sz w:val="16"/>
          <w:szCs w:val="16"/>
          <w:color w:val="auto"/>
        </w:rPr>
        <w:t>We recorded inventory reserves of $1.4 million during fiscal 2014 and $0.3 million during fiscal 2013, respectively, based on evaluating our ending inventories for excess quantities and obsolescence. We recorded an inventory reserve of approximately $63.9 million during fiscal 2010 based on our evaluation of forecasted demand in relation to the inventory on hand and market conditions surrounding our products as a result of the assumption that Sinovel and certain other customers in China would fail to meet their contractual obligations and demand that was previously forecasted would fail to materialize. If, in any period, we are able to sell inventories that were not valued or that had been reserved in a previous period, related revenues would be recorded without any offsetting charge to cost of revenues, resulting in a net benefit to our gross margin in that period. In fiscal 2014, 2013, and 2012, $8.0 million, $4.3 million, and $2.1 million respectively, were recognized as a net benefit to gross margin for inventory previously reserved in fiscal year 2010.</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periodically evaluate our long-lived assets, consisting principally of fixed and amortizable intangible assets for potential impairment. In accordance with the applicable accounting guidance for the treatment of long-lived assets, we review the carrying value of our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determination of our asset groups involves a significant amount of judgment, assumptions and estimates. We evaluate our long-lived assets whenever events or circumstances suggest that the carrying amount of an asset or group of assets may not be recoverable from the estimated undiscounted future cash flows.</w:t>
      </w:r>
    </w:p>
    <w:p>
      <w:pPr>
        <w:spacing w:after="0" w:line="16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judgments regarding the existence of impairment indicators are based on market and operational performance. Indicators of potential impairment include:</w:t>
      </w:r>
    </w:p>
    <w:p>
      <w:pPr>
        <w:spacing w:after="0" w:line="62" w:lineRule="exact"/>
        <w:rPr>
          <w:sz w:val="20"/>
          <w:szCs w:val="20"/>
          <w:color w:val="auto"/>
        </w:rPr>
      </w:pPr>
    </w:p>
    <w:p>
      <w:pPr>
        <w:ind w:left="1020" w:hanging="35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group is used;</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 group;</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other impaired assets within a reporting unit;</w:t>
      </w:r>
    </w:p>
    <w:p>
      <w:pPr>
        <w:spacing w:after="0" w:line="117" w:lineRule="exact"/>
        <w:rPr>
          <w:rFonts w:ascii="Arial" w:cs="Arial" w:eastAsia="Arial" w:hAnsi="Arial"/>
          <w:sz w:val="18"/>
          <w:szCs w:val="18"/>
          <w:color w:val="auto"/>
        </w:rPr>
      </w:pPr>
    </w:p>
    <w:p>
      <w:pPr>
        <w:ind w:left="1020" w:hanging="35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17" w:lineRule="exact"/>
        <w:rPr>
          <w:rFonts w:ascii="Arial" w:cs="Arial" w:eastAsia="Arial" w:hAnsi="Arial"/>
          <w:sz w:val="18"/>
          <w:szCs w:val="18"/>
          <w:color w:val="auto"/>
        </w:rPr>
      </w:pPr>
    </w:p>
    <w:p>
      <w:pPr>
        <w:ind w:left="1020" w:hanging="35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group; and</w:t>
      </w:r>
    </w:p>
    <w:p>
      <w:pPr>
        <w:spacing w:after="0" w:line="62" w:lineRule="exact"/>
        <w:rPr>
          <w:rFonts w:ascii="Arial" w:cs="Arial" w:eastAsia="Arial" w:hAnsi="Arial"/>
          <w:sz w:val="18"/>
          <w:szCs w:val="18"/>
          <w:color w:val="auto"/>
        </w:rPr>
      </w:pPr>
    </w:p>
    <w:p>
      <w:pPr>
        <w:ind w:left="1020" w:hanging="35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fiscal 2013 and 2012, in response to challenging liquidity and market conditions we entered into and completed certain restructuring activities, approved by the Board of Directors, in order to reduce costs and align our strategic priorities. Since the restructuring actions impacted all of our operations, we concluded that there were indicators of potential impairment of our long-lived assets in each of these fiscal years and we therefore conducted assessments of the recoverability of these assets by comparing the carrying value of the assets to the pre-tax undiscounted cash flows estimated to be generated by those assets over their remaining book useful lives. Based on the calculations performed by management, the sum of the undiscounted cash flows forecasted to be generated by certain assets were less than the carrying value of those assets. Therefore, there were indications that certain of our assets were impaired and, as a result, we performed additional analysis. An evaluation of the level of impairment was made by comparing the implied fair value of those definite long-lived tangible and intangible assets of its reporting units against their carrying values.</w:t>
      </w:r>
    </w:p>
    <w:p>
      <w:pPr>
        <w:spacing w:after="0" w:line="17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fair values of the impacted property and equipment were based on what we could reasonably expect to sell each asset from the perspective of a market participant. The determination of the fair value of its property and equipment includes estimates and judgments regarding the marketability and ultimate sales price of individual assets. We utilized market data and approximations from comparable analyses to arrive at the estimated fair values of the impacted property and equipment. The fair values of amortizable intangible assets related to completed technology and trade names were determined using primarily the relief-from-royalty method over the estimated economic lives of those assets from the perspective of a market participant. During fiscal 2013, we determined that the fair values of these assets were greater than or equal to their carrying values and no impairment charge was recorded. During fiscal 2012, we determined that certain of our corporate assets and Grid segment property, plant and equipment were impaired as their carrying values exceeded their fair values. We determined the long-lived assets of our Wind segment were not impaired. Accordingly, for the year ended March 31, 2013 we recorded an impairment charge on certain of our corporate assets and on certain of our Grid segment property, plant and equipment. For the year ended March 31, 2013 these charges totaled $5.0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Our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4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54"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We include interest and penalties related to gross unrecognized tax benefits within the provision for income taxes. (See Note 11, “Income Taxes,” of our consolidated financial statements for further information regarding our income tax assumptions and expenses.)</w:t>
      </w:r>
    </w:p>
    <w:p>
      <w:pPr>
        <w:spacing w:after="0" w:line="1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evaluate our permanent reinvestment assertions with respect to foreign earnings at each reporting period. We have not recorded a deferred tax asset for the temporary difference associated with the excess of the tax basis over the book basis in our Austrian subsidiary as the future tax benefit is not expected to reverse in the foreseeable future. We have recorded a deferred tax liability as of March 31, 2015 for the undistributed earnings of our remaining foreign subsidiaries for which we can no longer assert are permanently reinvested. The total amount of undistributed earnings available to be repatriated at March 31, 2015 was $1.2 million resulting in the recording of a $0.4 million net deferred federal and state income tax liability. (See Note 11, “Income Taxes,” of our consolidated financial statements for the results of this assessment.)</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measure compensation cost arising from the grant of share-based payments to employees at fair value and recognize such cost over the period during which the employee is required to provide service in exchange for the award, usually the vesting period. Total stock-based compensation expense recognized during the fiscal years ended March 31, 2015, 2014, and 2013 was $5.9 million, $10.7 million, and $8.1 million, respectively. For awards with service conditions only, we recognize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 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 (See Note 12, “Stockholders’ Equity,” of our consolidated financial statements for further information regarding our stock-based compensation assumptions and expenses.)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692" w:right="23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the loss is not probable or cannot be reasonably estimated, a liability is not recorded in our consolidated financial statements. If, with respect to a matter, it is not both probable to result in liability and the amount of loss cannot be reasonably estimated, an estimate of possible loss or range of loss shall be disclosed unless such an estimate cannot be made. We do not recognize gain contingencies until they are realized. Legal costs incurred in connection with loss contingencies are expensed as incurred. During the fiscal year ended March 31, 2015, we reversed legal expenses of approximately $2.2 million incurred in connection with the Ghodawat arbitration that were covered by our Catlin settlement. During the fiscal year ended March 31, 2013, we recorded a loss contingency of $1.8 million. (See Note 13, “Commitments and Contingencies”, of our consolidated financial statements for further information).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Warranty obligations are incurred in connection with the sale of our products. We generally provide a one to three year warranty on our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For debt arrangements, we consider any embedded equity-linked components and account for the fair value of any embedded warrants and derivatives. We elect not to use the fair value option for recording debt arrangements and elect to record the debt at the stated value of the loan agreement on the date of issuance. Any other elements present are reviewed to determine if they are embedded derivatives requiring bifurcation and requiring valuation under the fair value option. Derivatives and warrants, which meet the condition to satisfy an obligation by issuing a variable number of equity shares, are recorded at fair value. The carrying value assigned to the host instrument will be the difference between the previous carrying value of the host instrument and the fair value of the warrants and derivatives. There is no immediate gain/loss from the initial recognition and measurement if the embedded derivative is accounted for separately from its host contract. There is an offsetting debt discount or premium as a result of the fair value assigned to the warrants and derivatives, as well as any debt issuance costs, which is amortized under the effective interest method over the term of the loan. Each reporting period, fair value is assessed for the warrants and derivatives with the change in value being recorded as other income/loss. (See Note 9, “Debt,” and Note 10, “Warrants and Derivative Liabilities,” of our consolidated financial statements for a full discussion regarding the activity and financial impact for our debt, warrants and derivative liabilities.)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Our financial instruments consist principally of cash and cash equivalents, accounts receivable, accounts payable, accrued expenses, derivatives, warrants, the Exchanged Note (prior to its exchange on March 2, 2014) and Term Loans. The estimated fair values have been determined through information obtained from market sources and management estimates. The carrying amounts of the cash and cash equivalents, accounts receivable, accounts payable, and accrued expenses due to their short nature approximate fair value at March 31, 2015 and 2014. The fair value for the debt arrangements have been estimated by us based on the terms that we believe we could obtain in the current market for debt with the same terms and similar maturities and is further supported by the December 2014 amendments to the senior secured term loan with similar terms and interest rate. We classify the estimates used to fair value these instruments within Level 3 of the valuation hierarchy (See Note 3, “Fair Value Measurements” for a full discussion on fair value measurements.) The carrying amounts of these instruments approximate fair value as of March 31, 2015. We had identified all of the derivatives associated with the Exchanged Note which included holder change of control redemption rights, issuer optional redemption rights, sale redemption rights and a feature to convert the Exchanged Note into equity at the holder’s option. The derivative liability was subject to revaluation at each balance sheet date, and any change in fair value was recorded as a change in fair value in other income (expense) until the earlier of their exercise or expiration of the derivatives associated with the Exchanged Note. We relied on assumptions in a lattice model to determine the fair value of the derivative liability. We had appropriately valued the derivative liability within Level 3 of the valuation hierarchy. Warrants were issued in conjunction with the Exchanged Note and Term Loans. These warrants are subject to revaluation at each balance sheet date, and any change in fair value will be recorded as a change in fair value in other income (expense) until the earlier of the warrants’ exercise or expiration. We rely on assumptions used in a lattice model to determine the fair value of the warrants. We have appropriately valued the warrants within Level 3 of the valuation hierarchy.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692" w:right="239" w:bottom="1440" w:gutter="0" w:footer="0" w:header="0"/>
        </w:sectPr>
      </w:pPr>
    </w:p>
    <w:bookmarkStart w:id="51" w:name="page52"/>
    <w:bookmarkEnd w:id="51"/>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exposure to market risk through financial instruments, such as investments in marketable securities, is limited to interest rate risk and is not material. Our investments in marketable securities consist primarily of government-backed securities and commercial paper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154"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and AMSC China were to fluctuate by 10% the net effect would be immaterial to our consolidated financial statements.</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Foreign currency gains (losses), are included in net income and were $2.7 million, ($0.1) million and $1.0 million for the fiscal years ended March 31, 2015,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14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have audited the accompanying consolidated balance sheets of American Superconductor Corporation and subsidiaries (the “Company”) as of March 31, 2015 and 2014, and the related consolidated statements of operations, comprehensive loss, stockholders’ equity and cash flows for each of the two years in the period ended March 31, 2015, and the financial statement schedule of American Superconductor Corporation and subsidiaries listed in Item 15 for the year ended March 31, 2015. We also have audited the Company’s internal control over financial reporting as of March 31, 2015, based on criteria established in Internal Control – Integrated Framework issued by the Committee of Sponsoring Organizations of the Treadway Commission in 2013. The Company’s management is responsible for these financial statements and financial statement schedule, for maintaining effective internal control over these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74"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audits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w:t>
      </w:r>
    </w:p>
    <w:p>
      <w:pPr>
        <w:spacing w:after="0" w:line="7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American Superconductor Corporation and its subsidiaries as of March 31, 2015 and 2014, and the results of their operations and their cash flows for each of the years in the period ended March 31, 2015, in conformity with accounting principles generally accepted in the United States of America, and in our opinion, the related financial statement schedule, when considered in relation to the basic consolidated financial statements taken as a whole, presents fairly in all material respects the information set forth therein. Also in our opinion, American Superconductor Corporation and its subsidiaries maintained, in all material respects, effective internal control over financial reporting as of March 31, 2015, based on criteria established in Internal Control — Integrated Framework issued by the Committee of Sponsoring Organizations of the Treadway Commission in 2013.</w:t>
      </w:r>
    </w:p>
    <w:p>
      <w:pPr>
        <w:spacing w:after="0" w:line="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discussed in Note 1 to the consolidated financial statements, the Company effected a 1-for-10 reverse stock split of its common stock during the year. We audited the adjustments described in Note 1 that were retrospectively applied to the consolidated statement of operations and stockholders’ equity for the year ended March 31, 2013. In our opinion, such adjustments are appropriate and have been properly applied.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25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our opinion, the consolidated statements of operations, of comprehensive (loss) income, of stockholders’ equity and of cash flows for the year ended March 31, 2013, before the effects of the adjustments to retrospectively apply a change in the number of shares outstanding resulting from a reverse stock split described in Note 1, present fairly, in all material respects, the results of operations and cash flows of American Superconductor Corporation and its subsidiaries for the year ended March 31, 2013, in conformity with accounting principles generally accepted in the United States of America (the financial statements for the year ended March 31, 2013, before the effects of the adjustments discussed in Note 1 are not presented herein). In addition, in our opinion, the financial statement schedule for the year ended March 31, 2013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4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described in Note 1 to the financial statements, the Company has experienced recurring losses from operations and negative operating cash flows and the uncertainty of financing or other alternative liquidity sources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2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were not engaged to audit, review, or apply any procedures to the adjustments to retrospectively apply a change in the number of shares outstanding resulting from a reverse stock split described in Note 1 and accordingly, we do not express an opinion or any other form of assurance about whether such adjustments are appropriate and have been properly applied. Those adjustments were audited by other auditors.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March 31,</w:t>
            </w:r>
          </w:p>
        </w:tc>
      </w:tr>
      <w:tr>
        <w:trPr>
          <w:trHeight w:val="216"/>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r>
      <w:tr>
        <w:trPr>
          <w:trHeight w:val="213"/>
        </w:trPr>
        <w:tc>
          <w:tcPr>
            <w:tcW w:w="7820" w:type="dxa"/>
            <w:vAlign w:val="bottom"/>
          </w:tcPr>
          <w:p>
            <w:pPr>
              <w:ind w:left="36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20,490</w:t>
            </w:r>
          </w:p>
        </w:tc>
        <w:tc>
          <w:tcPr>
            <w:tcW w:w="4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43,114</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9,879</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7,556</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20,596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20,694</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10,764</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9,004</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20" w:type="dxa"/>
            <w:vAlign w:val="bottom"/>
            <w:tcBorders>
              <w:bottom w:val="single" w:sz="8" w:color="CFF0FC"/>
            </w:tcBorders>
          </w:tcPr>
          <w:p>
            <w:pPr>
              <w:spacing w:after="0"/>
              <w:rPr>
                <w:sz w:val="18"/>
                <w:szCs w:val="18"/>
                <w:color w:val="auto"/>
              </w:rPr>
            </w:pPr>
          </w:p>
        </w:tc>
      </w:tr>
      <w:tr>
        <w:trPr>
          <w:trHeight w:val="213"/>
        </w:trPr>
        <w:tc>
          <w:tcPr>
            <w:tcW w:w="78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64,551</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83,281</w:t>
            </w: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56,097</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64,574</w:t>
            </w: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Intangibles, net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3,394</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7,766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7,724</w:t>
            </w: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2,753</w:t>
            </w:r>
          </w:p>
        </w:tc>
        <w:tc>
          <w:tcPr>
            <w:tcW w:w="4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7,541</w:t>
            </w: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8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133,825</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168,509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Pr>
          <w:p>
            <w:pPr>
              <w:ind w:left="21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21,615</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21,764</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w w:val="99"/>
              </w:rPr>
              <w:t>Note payable, current portion, net of discount of $244 as of March 31, 2015 and $555 as of March 31, 2014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3,756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liabilities</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2,999</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11,019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9,456</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7,843</w:t>
            </w: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7,761</w:t>
            </w:r>
          </w:p>
        </w:tc>
        <w:tc>
          <w:tcPr>
            <w:tcW w:w="120" w:type="dxa"/>
            <w:vAlign w:val="bottom"/>
            <w:shd w:val="clear" w:color="auto" w:fill="CFF0FC"/>
          </w:tcPr>
          <w:p>
            <w:pPr>
              <w:spacing w:after="0"/>
              <w:rPr>
                <w:sz w:val="19"/>
                <w:szCs w:val="19"/>
                <w:color w:val="auto"/>
              </w:rPr>
            </w:pPr>
          </w:p>
        </w:tc>
      </w:tr>
      <w:tr>
        <w:trPr>
          <w:trHeight w:val="207"/>
        </w:trPr>
        <w:tc>
          <w:tcPr>
            <w:tcW w:w="782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47,232</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47,822</w:t>
            </w:r>
          </w:p>
        </w:tc>
        <w:tc>
          <w:tcPr>
            <w:tcW w:w="120" w:type="dxa"/>
            <w:vAlign w:val="bottom"/>
          </w:tcPr>
          <w:p>
            <w:pPr>
              <w:spacing w:after="0"/>
              <w:rPr>
                <w:sz w:val="17"/>
                <w:szCs w:val="17"/>
                <w:color w:val="auto"/>
              </w:rPr>
            </w:pPr>
          </w:p>
        </w:tc>
      </w:tr>
      <w:tr>
        <w:trPr>
          <w:trHeight w:val="219"/>
        </w:trPr>
        <w:tc>
          <w:tcPr>
            <w:tcW w:w="7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Note payable, net of discount of $290 as of March 31, 2015 and $287 as of March 31, 2014</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3,877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6,380</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2,756</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53,932</w:t>
            </w:r>
          </w:p>
        </w:tc>
        <w:tc>
          <w:tcPr>
            <w:tcW w:w="4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56,250</w:t>
            </w: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7820" w:type="dxa"/>
            <w:vAlign w:val="bottom"/>
          </w:tcPr>
          <w:p>
            <w:pPr>
              <w:ind w:left="260"/>
              <w:spacing w:after="0"/>
              <w:rPr>
                <w:sz w:val="20"/>
                <w:szCs w:val="20"/>
                <w:color w:val="auto"/>
              </w:rPr>
            </w:pPr>
            <w:r>
              <w:rPr>
                <w:rFonts w:ascii="Arial" w:cs="Arial" w:eastAsia="Arial" w:hAnsi="Arial"/>
                <w:sz w:val="16"/>
                <w:szCs w:val="16"/>
                <w:color w:val="auto"/>
                <w:w w:val="93"/>
              </w:rPr>
              <w:t>Common stock, $0.01 par value, 75,000,000 and 150,000,000 shares authorized; 9,624,275 and 7,892,990 shares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7820" w:type="dxa"/>
            <w:vAlign w:val="bottom"/>
          </w:tcPr>
          <w:p>
            <w:pPr>
              <w:ind w:left="260"/>
              <w:spacing w:after="0"/>
              <w:rPr>
                <w:sz w:val="20"/>
                <w:szCs w:val="20"/>
                <w:color w:val="auto"/>
              </w:rPr>
            </w:pPr>
            <w:r>
              <w:rPr>
                <w:rFonts w:ascii="Arial" w:cs="Arial" w:eastAsia="Arial" w:hAnsi="Arial"/>
                <w:sz w:val="16"/>
                <w:szCs w:val="16"/>
                <w:color w:val="auto"/>
              </w:rPr>
              <w:t>issued at March 31, 2015 and 2014, respectively</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985,921</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967,100</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Treasury stock, at cost, 34,067 and 5,705 shares at March 31, 2015 and 2014, respectively</w:t>
            </w:r>
          </w:p>
        </w:tc>
        <w:tc>
          <w:tcPr>
            <w:tcW w:w="2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(771)</w:t>
            </w: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(370)</w:t>
            </w: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 income</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(308)</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1,839</w:t>
            </w:r>
          </w:p>
        </w:tc>
        <w:tc>
          <w:tcPr>
            <w:tcW w:w="120" w:type="dxa"/>
            <w:vAlign w:val="bottom"/>
            <w:shd w:val="clear" w:color="auto" w:fill="CFF0FC"/>
          </w:tcPr>
          <w:p>
            <w:pPr>
              <w:spacing w:after="0"/>
              <w:rPr>
                <w:sz w:val="19"/>
                <w:szCs w:val="19"/>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color w:val="auto"/>
              </w:rPr>
              <w:t>(905,045)</w:t>
            </w: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(856,389)</w:t>
            </w:r>
          </w:p>
        </w:tc>
      </w:tr>
      <w:tr>
        <w:trPr>
          <w:trHeight w:val="210"/>
        </w:trPr>
        <w:tc>
          <w:tcPr>
            <w:tcW w:w="782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79,893</w:t>
            </w:r>
          </w:p>
        </w:tc>
        <w:tc>
          <w:tcPr>
            <w:tcW w:w="4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112,259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78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133,825</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168,509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82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w w:val="89"/>
              </w:rPr>
              <w:t>(In thousands, except per share data)</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Year ended March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2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70,530</w:t>
            </w:r>
          </w:p>
        </w:tc>
        <w:tc>
          <w:tcPr>
            <w:tcW w:w="100" w:type="dxa"/>
            <w:vAlign w:val="bottom"/>
          </w:tcPr>
          <w:p>
            <w:pPr>
              <w:spacing w:after="0"/>
              <w:rPr>
                <w:sz w:val="24"/>
                <w:szCs w:val="24"/>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84,117</w:t>
            </w:r>
          </w:p>
        </w:tc>
        <w:tc>
          <w:tcPr>
            <w:tcW w:w="260" w:type="dxa"/>
            <w:vAlign w:val="bottom"/>
          </w:tcPr>
          <w:p>
            <w:pPr>
              <w:spacing w:after="0"/>
              <w:rPr>
                <w:sz w:val="24"/>
                <w:szCs w:val="24"/>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87,419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and operating expenses:</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Cost of revenues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72,858</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37,230</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Arbitration award expense</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Restructuring and impairments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 of acquisition related intangibles</w:t>
            </w:r>
          </w:p>
        </w:tc>
        <w:tc>
          <w:tcPr>
            <w:tcW w:w="2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operating expenses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125,546</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(52,517)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(41,429)</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(57,741)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derivatives and warrants</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(5,197)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(9,661)</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before income tax (benefit) expense</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(48,840)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(55,406)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(66,395)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26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(48,656)</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(56,258)</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(66,131)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18"/>
                <w:szCs w:val="18"/>
                <w:color w:val="auto"/>
              </w:rPr>
            </w:pPr>
          </w:p>
        </w:tc>
        <w:tc>
          <w:tcPr>
            <w:tcW w:w="2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6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(5.74)</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(8.98)</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2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tcBorders>
              <w:bottom w:val="single" w:sz="8" w:color="CFF0FC"/>
            </w:tcBorders>
            <w:vMerge w:val="continue"/>
          </w:tcPr>
          <w:p>
            <w:pPr>
              <w:spacing w:after="0"/>
              <w:rPr>
                <w:sz w:val="21"/>
                <w:szCs w:val="21"/>
                <w:color w:val="auto"/>
              </w:rPr>
            </w:pPr>
          </w:p>
        </w:tc>
        <w:tc>
          <w:tcPr>
            <w:tcW w:w="23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89"/>
              </w:rPr>
              <w:t>Weighted average number of common shares outstanding</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6,262</w:t>
            </w:r>
          </w:p>
        </w:tc>
        <w:tc>
          <w:tcPr>
            <w:tcW w:w="2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1"/>
              </w:rPr>
              <w:t>Year ended March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(48,656)</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(56,258)</w:t>
            </w:r>
          </w:p>
        </w:tc>
        <w:tc>
          <w:tcPr>
            <w:tcW w:w="24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(66,131)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 (losses) gains</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rPr>
              <w:t>Unrealized losses on investments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 net of tax</w:t>
            </w:r>
          </w:p>
        </w:tc>
        <w:tc>
          <w:tcPr>
            <w:tcW w:w="1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8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19"/>
                <w:szCs w:val="19"/>
                <w:color w:val="auto"/>
              </w:rPr>
            </w:pPr>
          </w:p>
        </w:tc>
        <w:tc>
          <w:tcPr>
            <w:tcW w:w="14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7"/>
                <w:szCs w:val="17"/>
                <w:b w:val="1"/>
                <w:bCs w:val="1"/>
                <w:color w:val="auto"/>
              </w:rPr>
              <w:t>Common Stock</w:t>
            </w:r>
          </w:p>
        </w:tc>
        <w:tc>
          <w:tcPr>
            <w:tcW w:w="960" w:type="dxa"/>
            <w:vAlign w:val="bottom"/>
            <w:gridSpan w:val="4"/>
          </w:tcPr>
          <w:p>
            <w:pPr>
              <w:ind w:left="100"/>
              <w:spacing w:after="0"/>
              <w:rPr>
                <w:sz w:val="20"/>
                <w:szCs w:val="20"/>
                <w:color w:val="auto"/>
              </w:rPr>
            </w:pPr>
            <w:r>
              <w:rPr>
                <w:rFonts w:ascii="Arial" w:cs="Arial" w:eastAsia="Arial" w:hAnsi="Arial"/>
                <w:sz w:val="17"/>
                <w:szCs w:val="17"/>
                <w:b w:val="1"/>
                <w:bCs w:val="1"/>
                <w:color w:val="auto"/>
              </w:rPr>
              <w:t>Additional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Other</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Number</w:t>
            </w:r>
          </w:p>
        </w:tc>
        <w:tc>
          <w:tcPr>
            <w:tcW w:w="100" w:type="dxa"/>
            <w:vAlign w:val="bottom"/>
          </w:tcPr>
          <w:p>
            <w:pPr>
              <w:spacing w:after="0"/>
              <w:rPr>
                <w:sz w:val="17"/>
                <w:szCs w:val="17"/>
                <w:color w:val="auto"/>
              </w:rPr>
            </w:pP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Par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1"/>
              </w:rPr>
              <w:t>Paid-in</w:t>
            </w:r>
          </w:p>
        </w:tc>
        <w:tc>
          <w:tcPr>
            <w:tcW w:w="4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Arial" w:cs="Arial" w:eastAsia="Arial" w:hAnsi="Arial"/>
                <w:sz w:val="17"/>
                <w:szCs w:val="17"/>
                <w:b w:val="1"/>
                <w:bCs w:val="1"/>
                <w:color w:val="auto"/>
              </w:rPr>
              <w:t>Treasury</w:t>
            </w:r>
          </w:p>
        </w:tc>
        <w:tc>
          <w:tcPr>
            <w:tcW w:w="8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Comprehensive</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9"/>
              </w:rPr>
              <w:t>Accumulated</w:t>
            </w:r>
          </w:p>
        </w:tc>
        <w:tc>
          <w:tcPr>
            <w:tcW w:w="1100" w:type="dxa"/>
            <w:vAlign w:val="bottom"/>
            <w:gridSpan w:val="3"/>
          </w:tcPr>
          <w:p>
            <w:pPr>
              <w:spacing w:after="0"/>
              <w:rPr>
                <w:sz w:val="20"/>
                <w:szCs w:val="20"/>
                <w:color w:val="auto"/>
              </w:rPr>
            </w:pPr>
            <w:r>
              <w:rPr>
                <w:rFonts w:ascii="Arial" w:cs="Arial" w:eastAsia="Arial" w:hAnsi="Arial"/>
                <w:sz w:val="17"/>
                <w:szCs w:val="17"/>
                <w:b w:val="1"/>
                <w:bCs w:val="1"/>
                <w:color w:val="auto"/>
                <w:w w:val="96"/>
              </w:rPr>
              <w:t>Stockholders'</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4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4"/>
              </w:rPr>
              <w:t>Shares</w:t>
            </w:r>
          </w:p>
        </w:tc>
        <w:tc>
          <w:tcPr>
            <w:tcW w:w="100" w:type="dxa"/>
            <w:vAlign w:val="bottom"/>
          </w:tcPr>
          <w:p>
            <w:pPr>
              <w:spacing w:after="0"/>
              <w:rPr>
                <w:sz w:val="19"/>
                <w:szCs w:val="19"/>
                <w:color w:val="auto"/>
              </w:rPr>
            </w:pPr>
          </w:p>
        </w:tc>
        <w:tc>
          <w:tcPr>
            <w:tcW w:w="580" w:type="dxa"/>
            <w:vAlign w:val="bottom"/>
          </w:tcPr>
          <w:p>
            <w:pPr>
              <w:jc w:val="right"/>
              <w:ind w:right="55"/>
              <w:spacing w:after="0"/>
              <w:rPr>
                <w:sz w:val="20"/>
                <w:szCs w:val="20"/>
                <w:color w:val="auto"/>
              </w:rPr>
            </w:pPr>
            <w:r>
              <w:rPr>
                <w:rFonts w:ascii="Arial" w:cs="Arial" w:eastAsia="Arial" w:hAnsi="Arial"/>
                <w:sz w:val="17"/>
                <w:szCs w:val="17"/>
                <w:b w:val="1"/>
                <w:bCs w:val="1"/>
                <w:color w:val="auto"/>
                <w:w w:val="92"/>
              </w:rPr>
              <w:t>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5"/>
              </w:rPr>
              <w:t>Capital</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6"/>
              </w:rPr>
              <w:t>Stock</w:t>
            </w:r>
          </w:p>
        </w:tc>
        <w:tc>
          <w:tcPr>
            <w:tcW w:w="8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Income (Loss)</w:t>
            </w:r>
          </w:p>
        </w:tc>
        <w:tc>
          <w:tcPr>
            <w:tcW w:w="1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Deficit</w:t>
            </w: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12"/>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2012</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5,199</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897,071</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2,027</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(734,000)</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164,879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Issuance of common stock - ESPP</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common stock - restricted shares</w:t>
            </w:r>
          </w:p>
        </w:tc>
        <w:tc>
          <w:tcPr>
            <w:tcW w:w="660" w:type="dxa"/>
            <w:vAlign w:val="bottom"/>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Stock-based compensation expense</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stock for 401(k) match</w:t>
            </w:r>
          </w:p>
        </w:tc>
        <w:tc>
          <w:tcPr>
            <w:tcW w:w="6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Issuance of common stock to settle liabilities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16,733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Repurchase of treasury stock</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unrealized losses on investments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Cumulative translation adjustment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(887)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(66,131)</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(66,131)</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Balance at March 31, 2013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924,390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(800,131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40"/>
              <w:spacing w:after="0"/>
              <w:rPr>
                <w:sz w:val="20"/>
                <w:szCs w:val="20"/>
                <w:color w:val="auto"/>
              </w:rPr>
            </w:pPr>
            <w:r>
              <w:rPr>
                <w:rFonts w:ascii="Arial" w:cs="Arial" w:eastAsia="Arial" w:hAnsi="Arial"/>
                <w:sz w:val="17"/>
                <w:szCs w:val="17"/>
                <w:color w:val="auto"/>
              </w:rPr>
              <w:t>Exercise of stock options</w:t>
            </w: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Issuance of common stock - ESPP</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common stock - restricted shares</w:t>
            </w:r>
          </w:p>
        </w:tc>
        <w:tc>
          <w:tcPr>
            <w:tcW w:w="66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Stock-based compensation expense</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10,696</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stock for 401(k) match</w:t>
            </w:r>
          </w:p>
        </w:tc>
        <w:tc>
          <w:tcPr>
            <w:tcW w:w="66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Issuance of common stock-ATM, net of costs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common stock to settle liabilities</w:t>
            </w:r>
          </w:p>
        </w:tc>
        <w:tc>
          <w:tcPr>
            <w:tcW w:w="660" w:type="dxa"/>
            <w:vAlign w:val="bottom"/>
          </w:tcPr>
          <w:p>
            <w:pPr>
              <w:jc w:val="right"/>
              <w:spacing w:after="0"/>
              <w:rPr>
                <w:sz w:val="20"/>
                <w:szCs w:val="20"/>
                <w:color w:val="auto"/>
              </w:rPr>
            </w:pPr>
            <w:r>
              <w:rPr>
                <w:rFonts w:ascii="Arial" w:cs="Arial" w:eastAsia="Arial" w:hAnsi="Arial"/>
                <w:sz w:val="17"/>
                <w:szCs w:val="17"/>
                <w:color w:val="auto"/>
              </w:rPr>
              <w:t>1,167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23,468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Repurchase of treasury stock</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Cumulative translation adjustment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(56,258)</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(56,258)</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Balance at March 31, 2014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7,893</w:t>
            </w:r>
          </w:p>
        </w:tc>
        <w:tc>
          <w:tcPr>
            <w:tcW w:w="1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967,100</w:t>
            </w:r>
          </w:p>
        </w:tc>
        <w:tc>
          <w:tcPr>
            <w:tcW w:w="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w:t>
            </w:r>
          </w:p>
        </w:tc>
        <w:tc>
          <w:tcPr>
            <w:tcW w:w="1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(856,389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112,259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FF0FC"/>
          </w:tcPr>
          <w:p>
            <w:pPr>
              <w:ind w:left="140"/>
              <w:spacing w:after="0" w:line="193" w:lineRule="exact"/>
              <w:rPr>
                <w:sz w:val="20"/>
                <w:szCs w:val="20"/>
                <w:color w:val="auto"/>
              </w:rPr>
            </w:pPr>
            <w:r>
              <w:rPr>
                <w:rFonts w:ascii="Arial" w:cs="Arial" w:eastAsia="Arial" w:hAnsi="Arial"/>
                <w:sz w:val="17"/>
                <w:szCs w:val="17"/>
                <w:color w:val="auto"/>
              </w:rPr>
              <w:t>Issuance of common stock - ESPP</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common stock - restricted shares</w:t>
            </w:r>
          </w:p>
        </w:tc>
        <w:tc>
          <w:tcPr>
            <w:tcW w:w="660" w:type="dxa"/>
            <w:vAlign w:val="bottom"/>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Stock-based compensation expense</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5,936</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stock for 401(k) match</w:t>
            </w:r>
          </w:p>
        </w:tc>
        <w:tc>
          <w:tcPr>
            <w:tcW w:w="66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Issuance of common stock-ATM, net of costs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5,835</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Issuance of common stock-Hudson Bay Capital</w:t>
            </w:r>
          </w:p>
        </w:tc>
        <w:tc>
          <w:tcPr>
            <w:tcW w:w="660" w:type="dxa"/>
            <w:vAlign w:val="bottom"/>
          </w:tcPr>
          <w:p>
            <w:pPr>
              <w:jc w:val="right"/>
              <w:spacing w:after="0"/>
              <w:rPr>
                <w:sz w:val="20"/>
                <w:szCs w:val="20"/>
                <w:color w:val="auto"/>
              </w:rPr>
            </w:pPr>
            <w:r>
              <w:rPr>
                <w:rFonts w:ascii="Arial" w:cs="Arial" w:eastAsia="Arial" w:hAnsi="Arial"/>
                <w:sz w:val="17"/>
                <w:szCs w:val="17"/>
                <w:color w:val="auto"/>
              </w:rPr>
              <w:t>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Issuance of common stock to settle liabilities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1,322</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Reverse stock split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Repurchase of treasury stock</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(401)</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7"/>
                <w:szCs w:val="17"/>
                <w:color w:val="auto"/>
              </w:rPr>
              <w:t>Cumulative translation adjustment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(2,147)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(2,147)</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(48,656)</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(48,656)</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7"/>
                <w:szCs w:val="17"/>
                <w:color w:val="auto"/>
              </w:rPr>
              <w:t>Balance at March 31, 2015</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985,921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(905,045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w w:val="97"/>
              </w:rPr>
              <w:t>Year ended March 31,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(48,656)</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(56,258)</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(66,131)</w:t>
            </w:r>
          </w:p>
        </w:tc>
        <w:tc>
          <w:tcPr>
            <w:tcW w:w="0" w:type="dxa"/>
            <w:vAlign w:val="bottom"/>
          </w:tcPr>
          <w:p>
            <w:pPr>
              <w:spacing w:after="0"/>
              <w:rPr>
                <w:sz w:val="1"/>
                <w:szCs w:val="1"/>
                <w:color w:val="auto"/>
              </w:rPr>
            </w:pPr>
          </w:p>
        </w:tc>
      </w:tr>
      <w:tr>
        <w:trPr>
          <w:trHeight w:val="213"/>
        </w:trPr>
        <w:tc>
          <w:tcPr>
            <w:tcW w:w="5640" w:type="dxa"/>
            <w:vAlign w:val="bottom"/>
          </w:tcPr>
          <w:p>
            <w:pPr>
              <w:ind w:left="120"/>
              <w:spacing w:after="0"/>
              <w:rPr>
                <w:sz w:val="20"/>
                <w:szCs w:val="20"/>
                <w:color w:val="auto"/>
              </w:rPr>
            </w:pPr>
            <w:r>
              <w:rPr>
                <w:rFonts w:ascii="Arial" w:cs="Arial" w:eastAsia="Arial" w:hAnsi="Arial"/>
                <w:sz w:val="16"/>
                <w:szCs w:val="16"/>
                <w:color w:val="auto"/>
              </w:rPr>
              <w:t>Adjustments to reconcile net loss to net cash used in operations: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10,615</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Impairment of long-lived and intangible assets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Provision for excess and obsolete inventory</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Adverse purchase commitment losses (recoveries), net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(7,768)</w:t>
            </w: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Prepaid VAT reserve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minority interest investments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Change in fair value of derivatives and warrants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(3,963)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(1,872)</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(7,556)</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extinguishment of debt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Reversal of Catlin legal costs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(2,220)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interest expense</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Other non-cash items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(2,436)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 and liability accounts: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(2,677)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11,379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(1,887)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(6,457)</w:t>
            </w:r>
          </w:p>
        </w:tc>
        <w:tc>
          <w:tcPr>
            <w:tcW w:w="0" w:type="dxa"/>
            <w:vAlign w:val="bottom"/>
          </w:tcPr>
          <w:p>
            <w:pPr>
              <w:spacing w:after="0"/>
              <w:rPr>
                <w:sz w:val="1"/>
                <w:szCs w:val="1"/>
                <w:color w:val="auto"/>
              </w:rPr>
            </w:pPr>
          </w:p>
        </w:tc>
      </w:tr>
      <w:tr>
        <w:trPr>
          <w:trHeight w:val="213"/>
        </w:trPr>
        <w:tc>
          <w:tcPr>
            <w:tcW w:w="56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(2,330)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12,512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 and accrued expenses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(10,861)</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(21,864)</w:t>
            </w:r>
          </w:p>
        </w:tc>
        <w:tc>
          <w:tcPr>
            <w:tcW w:w="0" w:type="dxa"/>
            <w:vAlign w:val="bottom"/>
          </w:tcPr>
          <w:p>
            <w:pPr>
              <w:spacing w:after="0"/>
              <w:rPr>
                <w:sz w:val="1"/>
                <w:szCs w:val="1"/>
                <w:color w:val="auto"/>
              </w:rPr>
            </w:pPr>
          </w:p>
        </w:tc>
      </w:tr>
      <w:tr>
        <w:trPr>
          <w:trHeight w:val="213"/>
        </w:trPr>
        <w:tc>
          <w:tcPr>
            <w:tcW w:w="56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(21,426)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rPr>
              <w:t>Net cash used in operating activities</w:t>
            </w:r>
          </w:p>
        </w:tc>
        <w:tc>
          <w:tcPr>
            <w:tcW w:w="1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(32,676)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(13,267)</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(45,271)</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Purchase of property, plant and equipment</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(278)</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sale of property, plant and equipment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Proceeds from the maturity of marketable securities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restricted cash</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Change in other assets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(436)</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56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cash provided by investing activities</w:t>
            </w:r>
          </w:p>
        </w:tc>
        <w:tc>
          <w:tcPr>
            <w:tcW w:w="1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1,809</w:t>
            </w: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4,009</w:t>
            </w: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Employee taxes paid related to net settlement of equity awards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the issuance of debt, net of expenses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Repayment of debt</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(7,295)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(4,615)</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(1,923)</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public equity offering, net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exercise of employee stock options and ESPP</w:t>
            </w:r>
          </w:p>
        </w:tc>
        <w:tc>
          <w:tcPr>
            <w:tcW w:w="1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provided by financing activities</w:t>
            </w:r>
          </w:p>
        </w:tc>
        <w:tc>
          <w:tcPr>
            <w:tcW w:w="13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12,796</w:t>
            </w:r>
          </w:p>
        </w:tc>
        <w:tc>
          <w:tcPr>
            <w:tcW w:w="3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Net (decrease)/increase in cash and cash equivalents</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(22,624)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(7,036)</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1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43,114</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39,243</w:t>
            </w: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46,279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end of year</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20,490</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43,114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Supplemental schedule of cash flow information:</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tcPr>
          <w:p>
            <w:pPr>
              <w:ind w:left="260"/>
              <w:spacing w:after="0"/>
              <w:rPr>
                <w:sz w:val="20"/>
                <w:szCs w:val="20"/>
                <w:color w:val="auto"/>
              </w:rPr>
            </w:pPr>
            <w:r>
              <w:rPr>
                <w:rFonts w:ascii="Arial" w:cs="Arial" w:eastAsia="Arial" w:hAnsi="Arial"/>
                <w:sz w:val="16"/>
                <w:szCs w:val="16"/>
                <w:color w:val="auto"/>
              </w:rPr>
              <w:t>Cash paid for income taxes, net of refunds</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362</w:t>
            </w:r>
          </w:p>
        </w:tc>
        <w:tc>
          <w:tcPr>
            <w:tcW w:w="1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864</w:t>
            </w:r>
          </w:p>
        </w:tc>
        <w:tc>
          <w:tcPr>
            <w:tcW w:w="3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5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to settle liabilities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36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American Superconductor Corporation (“AMSC” or the “Company”) was founded on April 9, 1987. The Company is a leading provider of megawatt-scale solutions that lower the cost of wind power and enhance the performance of the power grid. In the wind power market, the Company enables manufacturers to field wind turbines through its advanced engineering, support services and power electronics products.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Company’s consolidated financial statements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March 24, 2015, the Company effected a 1-for-10 reverse stock split of its common stock. Trading of the Company’s common stock reflected the reverse stock split beginning on March 25, 2015. Unless otherwise indicated, all historical references to shares of common stock, shares of restricted stock, restricted units, shares underlying options, warrants or calculations that use common stock for per share financial reporting have been adjusted for comparative purposes to reflect the impact of the 1-for-10 reverse stock split as if it had occurred at the beginning of the earliest period presented.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experienced recurring operating losses and as of March 31, 2015, the Company had an accumulated deficit of $905.0 million. In addition, the Company has experienced recurring negative operating cash flows. At March 31, 2015, the Company had cash and cash equivalents of $20.5 million. Cash used in operations for the year ended March 31, 2015 was $32.7 million.</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August 29, 2014, the Arbitration Tribunal for the ICC International Court of Arbitration (the “ICC Court”) found the Company’s wholly-owned Austrian subsidiary, AMSC Austria GmbH (“AMSC Austria”), liable for damages in its breach of contract proceeding against Ghodawat Energy Pvt Ltd (“Ghodawat”) and awarded Ghodawat approximately €8.3 million plus interest of 5.33%, which accrued from the date of award. On February 4, 2015, AMSC Austria entered into a Settlement Agreement with Ghodawat, which provided for, among other things, (i) a payment by AMSC Austria to Ghodawat of €7.45 million, and (ii) upon payment by AMSC Austria to Ghodawat, the full settlement of any and all disputes and claims between the parties (including their respective parent and affiliated companies), in particular related to or arising out of the award. Cash used in operations for the year ended March 31, 2015 includes approximately $8.4 million for the payment of this liability.</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April 1, 2011 through the date of this filing, the Company has reduced its global workforce substantially. As of March 31, 2015, the Company had a global workforce of 318 persons. The Company plans to closely monitor its expenses and if required, expects to further reduce operating costs and capital spending to enhance liquidity.</w:t>
      </w:r>
    </w:p>
    <w:p>
      <w:pPr>
        <w:spacing w:after="0" w:line="18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Over the last several years, the Company has entered into several debt and equity financing arrangements in order to enhance liquidity. During the fiscal years ended March 31, 2015, 2014 and 2013, the Company generated aggregate cash flows from financing activities of $52.8 million. In addition, on April 29, 2015, the Company completed an additional equity offering, which generated net proceeds of approximately $22.3 million, after deducting underwriting discounts and commissions and estimated offering expenses payable by the Company. See Note 9, “Debt”, Note 12 “Stockholders Equity” and Note 19 “Subsequent Events” for further discussion of these financing arrangements. The Company believes that it is in compliance with the covenants and restrictions included in the agreements governing its debt arrangements as of March 31, 2015.</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believes it has sufficient liquidity to fund its operations, capital expenditures and scheduled cash payments under its debt obligations for the next twelve months. The Company’s liquidity is highly dependent on, its ability to increase revenues, its ability to control its operating costs, its ability to maintain compliance with the covenants and restrictions on its debt obligations (or obtain waivers from its lender in the event of non-compliance), and its ability to raise additional capital, if necessary. There can be no assurance that the Company will be able to continue to raise additional capital from other sources or execute on any other means of improving liquidity described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jc w:val="both"/>
        <w:ind w:firstLine="518"/>
        <w:spacing w:after="0" w:line="302" w:lineRule="auto"/>
        <w:rPr>
          <w:sz w:val="20"/>
          <w:szCs w:val="20"/>
          <w:color w:val="auto"/>
        </w:rPr>
      </w:pPr>
      <w:r>
        <w:rPr>
          <w:rFonts w:ascii="Arial" w:cs="Arial" w:eastAsia="Arial" w:hAnsi="Arial"/>
          <w:sz w:val="16"/>
          <w:szCs w:val="16"/>
          <w:color w:val="auto"/>
        </w:rPr>
        <w:t>In addition, the Company is actively seeking to sell its minority investment in Tres Amigas, LLC, a Delaware limited liability Company (“Tres Amigas”). The Company no longer believes its investment in Blade Dynamics is recoverable and fully impaired its remaining investment in Blade Dynamics Ltd. (“Blade Dynamics”) during the three months ended September 30, 2014. (See Note 15, “Minority Investments”, for further information about such investments.) There can be no assurance that the Company will be able to sell these investments on commercially reasonable terms or at all.</w:t>
      </w:r>
    </w:p>
    <w:p>
      <w:pPr>
        <w:spacing w:after="0" w:line="299" w:lineRule="exact"/>
        <w:rPr>
          <w:sz w:val="20"/>
          <w:szCs w:val="20"/>
          <w:color w:val="auto"/>
        </w:rPr>
      </w:pPr>
    </w:p>
    <w:p>
      <w:pPr>
        <w:ind w:left="260" w:right="7860" w:hanging="252"/>
        <w:spacing w:after="0" w:line="378" w:lineRule="auto"/>
        <w:tabs>
          <w:tab w:leader="none" w:pos="18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Consolidation</w:t>
      </w:r>
    </w:p>
    <w:p>
      <w:pPr>
        <w:jc w:val="both"/>
        <w:ind w:firstLine="51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and transactions are eliminated. Certain reclassifications of prior years’ amounts have been made to conform to the current year presentation. These reclassifications had no effect on net income, cash flows from operating activities or stockholders’ equity.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of the United States of America,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warranty provisions, stock-based compensation, valuation of warrant and derivative liabilities,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Accounts receivable consist of amounts owed by commercial companies and government agencies. Accounts receivable are stated net of allowances for doubtful accounts. The Company’s accounts receivable relate principally to a limited number of customers. As of March 31, 2015, one customer, Inox Wind Limited (“Inox”), accounted for approximately 56% of the Company’s total receivable balance, with no other customer accounting for greater than 10% of the balance. As of March 31, 2014, three customers, Inox, CG Power Solutions UK Ltd (“CGPS”), and JCNE, accounted for approximately 20%, 14% and 13%, respectively, of the Company’s total receivable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results of operations, and cash flows.</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Inventories include material, direct labor and related manufacturing overhead, and are stated at the lower of cost or market determined on a first-in, first-out basis. The Company records inventory when it takes delivery and title to the product according to the terms of each supply contract.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jc w:val="both"/>
        <w:ind w:right="20" w:firstLine="518"/>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8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For the years ended March 31, 2015 and 2014, the Company recorded inventory reserves of approximately $1.4 million and $0.3 million, respectively, based on evaluating its ending inventory on hand for excess quantities and obsolescence. For the years ended March 31, 2015, 2014, and 2013, the Company recorded benefits of $8.0 million, $4.3 million, and $2.1 million, respectively, for the usage of inventories previously reserved.</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ind w:left="2260"/>
              <w:spacing w:after="0"/>
              <w:rPr>
                <w:sz w:val="20"/>
                <w:szCs w:val="20"/>
                <w:color w:val="auto"/>
              </w:rPr>
            </w:pPr>
            <w:r>
              <w:rPr>
                <w:rFonts w:ascii="Arial" w:cs="Arial" w:eastAsia="Arial" w:hAnsi="Arial"/>
                <w:sz w:val="14"/>
                <w:szCs w:val="14"/>
                <w:b w:val="1"/>
                <w:bCs w:val="1"/>
                <w:color w:val="auto"/>
              </w:rPr>
              <w:t>Asset Classification</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 Life in Years</w:t>
            </w:r>
          </w:p>
        </w:tc>
      </w:tr>
      <w:tr>
        <w:trPr>
          <w:trHeight w:val="223"/>
        </w:trPr>
        <w:tc>
          <w:tcPr>
            <w:tcW w:w="5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Building</w:t>
            </w:r>
          </w:p>
        </w:tc>
        <w:tc>
          <w:tcPr>
            <w:tcW w:w="100" w:type="dxa"/>
            <w:vAlign w:val="bottom"/>
            <w:tcBorders>
              <w:top w:val="single" w:sz="8" w:color="CFF0FC"/>
            </w:tcBorders>
            <w:shd w:val="clear" w:color="auto" w:fill="CFF0FC"/>
          </w:tcPr>
          <w:p>
            <w:pPr>
              <w:spacing w:after="0"/>
              <w:rPr>
                <w:sz w:val="19"/>
                <w:szCs w:val="19"/>
                <w:color w:val="auto"/>
              </w:rPr>
            </w:pPr>
          </w:p>
        </w:tc>
        <w:tc>
          <w:tcPr>
            <w:tcW w:w="5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40</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Process upgrades to the building</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10-40</w:t>
            </w: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3-10</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Shorter of the estimated useful life or the remaining lease term</w:t>
            </w: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89"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During the fiscal years ended March 31, 2014 and 2013, in response to challenging liquidity and market conditions, the Company entered into and completed certain restructuring activities, approved by the Board of Directors, in order to reduce costs and align its strategic priorities. Since the restructuring action impacted all of its operations, management concluded that there were indicators of potential impairment of its long-lived assets in each of those fiscal years and the Company therefore conducted assessments of the recoverability of these assets by comparing its carrying value of the assets to the pre-tax undiscounted cash flows estimated to be generated by those assets over their remaining book useful lives. Based on the calculations performed by management, the sum of the undiscounted cash flows forecasted to be generated by certain assets were less than the carrying value of those assets. Therefore, there were indications that certain of its assets were impaired and, as a result, the Company performed additional analysis. An evaluation of the level of impairment was made by comparing the implied fair value of those definite long-lived tangible and intangible assets of each reporting unit against their carrying values.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jc w:val="both"/>
        <w:ind w:firstLine="518"/>
        <w:spacing w:after="0" w:line="270" w:lineRule="auto"/>
        <w:rPr>
          <w:sz w:val="20"/>
          <w:szCs w:val="20"/>
          <w:color w:val="auto"/>
        </w:rPr>
      </w:pPr>
      <w:r>
        <w:rPr>
          <w:rFonts w:ascii="Arial" w:cs="Arial" w:eastAsia="Arial" w:hAnsi="Arial"/>
          <w:sz w:val="17"/>
          <w:szCs w:val="17"/>
          <w:color w:val="auto"/>
        </w:rPr>
        <w:t>The fair values of the impacted property and equipment were based on what the Company could reasonably expect to sell each asset from the perspective of a market participant. The determination of the fair value of its property and equipment includes estimates and judgments regarding the marketability and ultimate sales price of individual assets. The Company utilized market data and approximations from comparable analyses to arrive at the estimated fair values of the impacted property and equipment. The fair values of amortization intangible assets related to completed technology and trade names were determined using primarily the relief-from-royalty method over the estimated economic lives of those assets from the perspective of a market participant. During the year ended March 31, 2014, the Company determined that the fair values of those assets were greater than or equal to their carrying values and no impairment charge was recorded. During the year ended March 31, 2013, management determined that certain of its corporate assets and Grid segment property, plant and equipment were impaired as their carrying values exceeded their fair values. The Company determined the long-lived assets of its Wind segment were not impaired. Accordingly, for the year ended March 31, 2013, the Company recorded an impairment charge of $5.0 million on certain of its corporate assets and on certain of its Grid segment property, plant and equipment.</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uses the equity method of accounting for investments in entities in which it has an ownership interest, but does not exercise a controlling interest in the operating and financial policies of an investee. Under this method, an investment is carried at the acquisition cost, plus the Company’s equity in undistributed earnings or losses since acquisition.</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periodically tests its investments for potential impairment whenever events and circumstances indicate a loss in the fair value of the investments may be other than temporary. During the years ended March 31, 2015 and 2014, the Company recorded impairment charges of $3.5 and $1.3 million, respectively, on its investment in Blade Dynamics Ltd. This minority investment is fully impaired as of March 31, 2015. (See Note 15, “Minority Investments”, for further discussion.)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 recognizes revenue for product sales upon customer acceptance, which can occur at the time of delivery, installation or post-installation where applicable, provided persuasive evidence of an arrangement exists, delivery has occurred, the sales price is fixed or determinable and the collectability is reasonably assured. Existing customers are subject to ongoing credit evaluations based on payment history and other factors. If it is determined during the arrangement that collectability is not reasonably assured, revenue is recognized on a cash basis of accounting. Certain of the Company’s contracts involve retention amounts which are contingent upon meeting certain performance requirements through the expiration of the contract warranty periods. For contractual arrangements that involve retention, the Company recognizes revenue for these amounts upon the expiration of the warranty period, meeting the performance requirements and when collection of the fee is reasonably assured.</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During the year ended March 31, 2011, the Company determined that revenues from certain of its customers in China could not be recorded for shipments made according to the delivery terms, as the fee was not fixed or determinable or collectability was not reasonably assured. For these customers, the Company is utilizing a cash basis of accounting with cash applied first against accounts receivable balances, then costs of shipments (inventory and value added taxes) before recognizing any gross margin. Payments of $3.7 million and $3.4 million were received from these customers during the years ended March 31, 2014 and 2013, respectively, for past shipments and recorded as revenue. There were no payments received for past shipments in the fiscal year ending March 31, 2015.</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Percentage-of-completion revenue recognition accounting is predominantly used on certain turnkey power systems installations for electric utilities and long-term prototype development contracts with the U.S. government.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completed-contract method.</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enters into sales arrangements that may provide for multiple deliverables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jc w:val="both"/>
        <w:ind w:firstLine="518"/>
        <w:spacing w:after="0" w:line="286" w:lineRule="auto"/>
        <w:rPr>
          <w:sz w:val="20"/>
          <w:szCs w:val="20"/>
          <w:color w:val="auto"/>
        </w:rPr>
      </w:pPr>
      <w:r>
        <w:rPr>
          <w:rFonts w:ascii="Arial" w:cs="Arial" w:eastAsia="Arial" w:hAnsi="Arial"/>
          <w:sz w:val="16"/>
          <w:szCs w:val="16"/>
          <w:color w:val="auto"/>
        </w:rPr>
        <w:t>Deliverables are separated into more than one unit of accounting when (1) the delivered element(s) have value to the customer on a stand-alone basis, and (2) delivery of the undelivered element(s) is probable and substantially in the control of the Company. In general, revenues are separated between the different product shipments which have stand-alone value, and the various services to be provided. Revenue for product shipments is recognized in accordance with the Company’s policy for product sales, while revenues for the services are recognized over the period of performance.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the Company’s performance and milestones that have been achieved. Costs for these arrangements are expensed as incurred. The Company identifies all goods and/or services that are to be delivered separately under a sales arrangement and allocates revenue to each deliverable based on the element’s fair value as determined by vendor-specific objective evidence (“VSOE”), which is the price charged when that element is sold separately, or third-party evidence (“TPE”). When VSOE and TPE are unavailable, fair value is based on the Company’s best estimate of selling price utilizing a cost plus reasonable margin consistent with how the Company has set pricing historically for similar products and services. When the Company’s estimates are used to determine fair value, management makes its estimates using reasonable and objective evidence to determine the price. The Company reviews VSOE and TPE at least annually. If the Company concludes it is unable to establish fair values for one or more undelivered elements within a multiple-element arrangement using VSOE then the Company uses TPE or the best estimate of the selling price for that unit of accounting, being the price at which the vendor would transact if the unit of accounting were sold by the vendor regularly on a standalone basis.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24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Warranty obligations are incurred in connection with the sale of the Company’s products. The Company generally provides a one to three year warranty on its products, commencing upon installation.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expensed as incurred.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Company’s provision for income taxes is composed of a current and a deferred portion. The current income tax provision is calculated as 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4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foreign deferred income tax assets since the Company believes that it is more likely than not that these deferred tax assets are not currently realizable due to uncertainty around profitability in the future.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jc w:val="both"/>
        <w:ind w:firstLine="518"/>
        <w:spacing w:after="0" w:line="254" w:lineRule="auto"/>
        <w:rPr>
          <w:sz w:val="20"/>
          <w:szCs w:val="20"/>
          <w:color w:val="auto"/>
        </w:rPr>
      </w:pPr>
      <w:r>
        <w:rPr>
          <w:rFonts w:ascii="Arial" w:cs="Arial" w:eastAsia="Arial" w:hAnsi="Arial"/>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11, “Income Taxes,” for further information regarding our income tax assumptions and expenses.)</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Company evaluates its permanent reinvestment assertions with respect to foreign earnings at each reporting period. The Company has not recorded a deferred tax asset for the temporary difference associated with the excess of the tax basis over its book basis in its Austrian subsidiary as the future tax benefit is not expected to reverse in the foreseeable future. The Company has recorded a deferred tax liability as of March 31, 2015 for the undistributed earnings of its remaining foreign subsidiaries for which it can no longer assert are permanently reinvested. The total amount of undistributed earnings available to be repatriated at March 31, 2015 was $1.2 million resulting in the recording of a $0.4 million net deferred federal and state income tax liability. (See Note 11, “Income Taxes,” for further information regarding our income tax assumptions and expenses.)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accounts for stock-based payment transactions using a fair value-based method and recognizes the related expense in the results of operations.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For awards with performance conditions, accruals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years ended March 31, 2015, 2014, and 2013, common equivalent shares of 1,567,352, 643,158, and 1,072,584, respectively, were not included in the calculation of diluted EPS as they were considered antidilutive. The following table reconciles the numerators and denominators of the EPS calculation for the years ended March 31, 2015, 2014, and 2013 (in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rPr>
              <w:t>Year ended March 31,</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36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(48,656)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(56,258)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0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Weighted-average shares of common stock outstanding</w:t>
            </w:r>
          </w:p>
        </w:tc>
        <w:tc>
          <w:tcPr>
            <w:tcW w:w="1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shares subject to repurchase</w:t>
            </w:r>
          </w:p>
        </w:tc>
        <w:tc>
          <w:tcPr>
            <w:tcW w:w="10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used in per-share calculation ― basic</w:t>
            </w:r>
          </w:p>
        </w:tc>
        <w:tc>
          <w:tcPr>
            <w:tcW w:w="104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Shares used in per-share calculation ― diluted</w:t>
            </w:r>
          </w:p>
        </w:tc>
        <w:tc>
          <w:tcPr>
            <w:tcW w:w="10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6,262</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w:t>
            </w:r>
          </w:p>
        </w:tc>
        <w:tc>
          <w:tcPr>
            <w:tcW w:w="2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gridSpan w:val="2"/>
            <w:vMerge w:val="continue"/>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diluted</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functional currency of all the Company’s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(losses) are included in net loss and were $2.8 million, ($0.1) million, and $1.0 million for the years ended March 31, 2015, 2014 and 2013, respectively. The Company has no restrictions on the foreign exchange activities of its foreign subsidiaries, including the payment of dividends and other distributions.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invests its available cash with high-credit, quality financial instruments and invests primarily in investment-grade marketable securities, including, but not limited to, government obligations, money market funds and corporate debt instruments.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year ending March 31, 2015 and beyond as incremental funding is authorized and appropriated by the government.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692"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During the fiscal year ended March 31, 2015, the Company reversed legal expenses of approximately $2.2 million incurred in connection with the Ghodawat arbitration that were covered by the Catlin settlement. The Company recorded a loss contingency of $1.8 million for the year ended March 31, 2013. (See Note 13, “Commitments and Contingencies,” for further information regarding the Company’s pending litigation.)</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For debt arrangements, the Company considers any embedded equity-linked components and accounts for the fair value of any embedded warrants and derivatives. The Company elects not to use the fair value option for recording debt arrangements and elects to record the debt at the stated value of the loan agreement on the date of issuance. Any other elements present are reviewed to determine if they are embedded derivatives requiring bifurcation and requiring valuation under the fair value option. Derivatives and warrants, which meet the condition to satisfy an obligation by issuing a variable number of equity shares, are recorded at fair value. The carrying value assigned to the host instrument will be the difference between the previous carrying value of the host instrument and the fair value of the warrants and derivatives. There is no immediate gain/loss from the initial recognition and measurement if the embedded derivative is accounted for separately from its host contract. There is an offsetting debt discount or premium as a result of the fair value assigned to the warrants and derivatives, as well as any debt issuance costs, which is amortized under the effective interest method over the term of the loan. Each reporting period, fair value is assessed for the warrants and derivatives with the change in value being recorded as other income/loss. (See Note 9, “Debt,” and Note 10, “Warrants and Derivative Liabilities,” for a full discussion regarding the activity and financial impact for the Company’s debt, warrants and derivative liabilities.)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Company’s financial instruments consist principally of cash and cash equivalents, accounts receivable, accounts payable, accrued expenses, warrants to purchase shares of common stock, derivatives, a senior convertible note and senior secured term loan. The carrying amounts of cash and cash equivalents, accounts receivable, accounts payable, and accrued expenses due to their short nature approximate fair value at March 31, 2015 and 2014. The estimated fair values have been determined through information obtained from market sources and management estimates. The fair value for the debt and warrant arrangements have been estimated by management based on the terms that it believes it could obtain in the current market for debt with the same terms and similar maturities and is further supported by the December 2014 amendments to the senior secured term loan with similar terms and interest rate. The Company classifies the estimates used to fair value these instruments as Level 3 inputs (See Note 3, “Fair Value Measurements” for a full discussion on fair value measurements.)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93" w:lineRule="exact"/>
        <w:rPr>
          <w:sz w:val="20"/>
          <w:szCs w:val="20"/>
          <w:color w:val="auto"/>
        </w:rPr>
      </w:pPr>
    </w:p>
    <w:p>
      <w:pPr>
        <w:jc w:val="both"/>
        <w:ind w:left="1160" w:hanging="944"/>
        <w:spacing w:after="0" w:line="277" w:lineRule="auto"/>
        <w:tabs>
          <w:tab w:leader="none" w:pos="114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76" w:lineRule="exact"/>
        <w:rPr>
          <w:sz w:val="20"/>
          <w:szCs w:val="20"/>
          <w:color w:val="auto"/>
        </w:rPr>
      </w:pPr>
    </w:p>
    <w:p>
      <w:pPr>
        <w:jc w:val="both"/>
        <w:ind w:left="1160" w:hanging="944"/>
        <w:spacing w:after="0" w:line="286" w:lineRule="auto"/>
        <w:tabs>
          <w:tab w:leader="none" w:pos="114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71" w:lineRule="exact"/>
        <w:rPr>
          <w:sz w:val="20"/>
          <w:szCs w:val="20"/>
          <w:color w:val="auto"/>
        </w:rPr>
      </w:pPr>
    </w:p>
    <w:p>
      <w:pPr>
        <w:jc w:val="both"/>
        <w:ind w:left="1160" w:hanging="944"/>
        <w:spacing w:after="0" w:line="277" w:lineRule="auto"/>
        <w:tabs>
          <w:tab w:leader="none" w:pos="1140" w:val="left"/>
        </w:tabs>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692" w:right="239" w:bottom="1440" w:gutter="0" w:footer="0" w:header="0"/>
        </w:sectPr>
      </w:pPr>
    </w:p>
    <w:bookmarkStart w:id="67" w:name="page68"/>
    <w:bookmarkEnd w:id="67"/>
    <w:p>
      <w:pPr>
        <w:jc w:val="both"/>
        <w:ind w:firstLine="518"/>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between Level 1 and Level 3 of the fair value measurement hierarchy during the fiscal years ended March 31, 2015 and 2014.</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the assets and liabilities carried at fair value, measured as of March 31, 2015 and 2014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Quoted Prices in</w:t>
            </w:r>
          </w:p>
        </w:tc>
        <w:tc>
          <w:tcPr>
            <w:tcW w:w="340" w:type="dxa"/>
            <w:vAlign w:val="bottom"/>
          </w:tcPr>
          <w:p>
            <w:pPr>
              <w:spacing w:after="0"/>
              <w:rPr>
                <w:sz w:val="16"/>
                <w:szCs w:val="16"/>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9"/>
                <w:szCs w:val="19"/>
                <w:color w:val="auto"/>
              </w:rPr>
            </w:pPr>
          </w:p>
        </w:tc>
        <w:tc>
          <w:tcPr>
            <w:tcW w:w="128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Active Markets</w:t>
            </w:r>
          </w:p>
        </w:tc>
        <w:tc>
          <w:tcPr>
            <w:tcW w:w="340" w:type="dxa"/>
            <w:vAlign w:val="bottom"/>
          </w:tcPr>
          <w:p>
            <w:pPr>
              <w:spacing w:after="0"/>
              <w:rPr>
                <w:sz w:val="19"/>
                <w:szCs w:val="19"/>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Observable Inputs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21"/>
                <w:szCs w:val="21"/>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340" w:type="dxa"/>
            <w:vAlign w:val="bottom"/>
          </w:tcPr>
          <w:p>
            <w:pPr>
              <w:spacing w:after="0"/>
              <w:rPr>
                <w:sz w:val="21"/>
                <w:szCs w:val="21"/>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color w:val="auto"/>
                <w:w w:val="91"/>
              </w:rPr>
              <w:t>(</w:t>
            </w:r>
            <w:r>
              <w:rPr>
                <w:rFonts w:ascii="Arial" w:cs="Arial" w:eastAsia="Arial" w:hAnsi="Arial"/>
                <w:sz w:val="14"/>
                <w:szCs w:val="14"/>
                <w:b w:val="1"/>
                <w:bCs w:val="1"/>
                <w:color w:val="auto"/>
                <w:w w:val="91"/>
              </w:rPr>
              <w:t>Level 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3080" w:type="dxa"/>
            <w:vAlign w:val="bottom"/>
            <w:vMerge w:val="restart"/>
          </w:tcPr>
          <w:p>
            <w:pPr>
              <w:spacing w:after="0"/>
              <w:rPr>
                <w:sz w:val="20"/>
                <w:szCs w:val="20"/>
                <w:color w:val="auto"/>
              </w:rPr>
            </w:pPr>
            <w:r>
              <w:rPr>
                <w:rFonts w:ascii="Arial" w:cs="Arial" w:eastAsia="Arial" w:hAnsi="Arial"/>
                <w:sz w:val="18"/>
                <w:szCs w:val="18"/>
                <w:color w:val="auto"/>
              </w:rPr>
              <w:t>March 31, 2015:</w:t>
            </w:r>
          </w:p>
        </w:tc>
        <w:tc>
          <w:tcPr>
            <w:tcW w:w="1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12,519</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12,519</w:t>
            </w:r>
          </w:p>
        </w:tc>
        <w:tc>
          <w:tcPr>
            <w:tcW w:w="164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Warrants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2,999</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3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24"/>
                <w:szCs w:val="24"/>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Quoted Prices in</w:t>
            </w:r>
          </w:p>
        </w:tc>
        <w:tc>
          <w:tcPr>
            <w:tcW w:w="340" w:type="dxa"/>
            <w:vAlign w:val="bottom"/>
          </w:tcPr>
          <w:p>
            <w:pPr>
              <w:spacing w:after="0"/>
              <w:rPr>
                <w:sz w:val="24"/>
                <w:szCs w:val="24"/>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9"/>
                <w:szCs w:val="19"/>
                <w:color w:val="auto"/>
              </w:rPr>
            </w:pPr>
          </w:p>
        </w:tc>
        <w:tc>
          <w:tcPr>
            <w:tcW w:w="128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Active Markets</w:t>
            </w:r>
          </w:p>
        </w:tc>
        <w:tc>
          <w:tcPr>
            <w:tcW w:w="340" w:type="dxa"/>
            <w:vAlign w:val="bottom"/>
          </w:tcPr>
          <w:p>
            <w:pPr>
              <w:spacing w:after="0"/>
              <w:rPr>
                <w:sz w:val="19"/>
                <w:szCs w:val="19"/>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Observable Inputs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21"/>
                <w:szCs w:val="21"/>
                <w:color w:val="auto"/>
              </w:rPr>
            </w:pPr>
          </w:p>
        </w:tc>
        <w:tc>
          <w:tcPr>
            <w:tcW w:w="1280" w:type="dxa"/>
            <w:vAlign w:val="bottom"/>
          </w:tcPr>
          <w:p>
            <w:pPr>
              <w:jc w:val="center"/>
              <w:ind w:right="101"/>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340" w:type="dxa"/>
            <w:vAlign w:val="bottom"/>
          </w:tcPr>
          <w:p>
            <w:pPr>
              <w:spacing w:after="0"/>
              <w:rPr>
                <w:sz w:val="21"/>
                <w:szCs w:val="21"/>
                <w:color w:val="auto"/>
              </w:rPr>
            </w:pPr>
          </w:p>
        </w:tc>
        <w:tc>
          <w:tcPr>
            <w:tcW w:w="1300" w:type="dxa"/>
            <w:vAlign w:val="bottom"/>
          </w:tcPr>
          <w:p>
            <w:pPr>
              <w:jc w:val="center"/>
              <w:ind w:left="28"/>
              <w:spacing w:after="0"/>
              <w:rPr>
                <w:sz w:val="20"/>
                <w:szCs w:val="20"/>
                <w:color w:val="auto"/>
              </w:rPr>
            </w:pPr>
            <w:r>
              <w:rPr>
                <w:rFonts w:ascii="Arial" w:cs="Arial" w:eastAsia="Arial" w:hAnsi="Arial"/>
                <w:sz w:val="14"/>
                <w:szCs w:val="14"/>
                <w:color w:val="auto"/>
                <w:w w:val="91"/>
              </w:rPr>
              <w:t>(</w:t>
            </w:r>
            <w:r>
              <w:rPr>
                <w:rFonts w:ascii="Arial" w:cs="Arial" w:eastAsia="Arial" w:hAnsi="Arial"/>
                <w:sz w:val="14"/>
                <w:szCs w:val="14"/>
                <w:b w:val="1"/>
                <w:bCs w:val="1"/>
                <w:color w:val="auto"/>
                <w:w w:val="91"/>
              </w:rPr>
              <w:t>Level 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3080" w:type="dxa"/>
            <w:vAlign w:val="bottom"/>
            <w:vMerge w:val="restart"/>
          </w:tcPr>
          <w:p>
            <w:pPr>
              <w:spacing w:after="0"/>
              <w:rPr>
                <w:sz w:val="20"/>
                <w:szCs w:val="20"/>
                <w:color w:val="auto"/>
              </w:rPr>
            </w:pPr>
            <w:r>
              <w:rPr>
                <w:rFonts w:ascii="Arial" w:cs="Arial" w:eastAsia="Arial" w:hAnsi="Arial"/>
                <w:sz w:val="18"/>
                <w:szCs w:val="18"/>
                <w:color w:val="auto"/>
              </w:rPr>
              <w:t>March 31, 2014:</w:t>
            </w:r>
          </w:p>
        </w:tc>
        <w:tc>
          <w:tcPr>
            <w:tcW w:w="1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Cash equivalents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17,675</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17,675</w:t>
            </w:r>
          </w:p>
        </w:tc>
        <w:tc>
          <w:tcPr>
            <w:tcW w:w="164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Warrants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2,601</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14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activity for the Company’s major classes of liabilities measured at fair value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8"/>
                <w:szCs w:val="18"/>
                <w:color w:val="auto"/>
              </w:rPr>
              <w:t>April 1, 2014</w:t>
            </w: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Warrant issuance with equity offering</w:t>
            </w:r>
          </w:p>
        </w:tc>
        <w:tc>
          <w:tcPr>
            <w:tcW w:w="15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Warrant issuance with senior secured term loan</w:t>
            </w: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Mark to market adjustment</w:t>
            </w:r>
          </w:p>
        </w:tc>
        <w:tc>
          <w:tcPr>
            <w:tcW w:w="15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rPr>
              <w:t>Derivative</w:t>
            </w: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jc w:val="right"/>
              <w:ind w:right="207"/>
              <w:spacing w:after="0"/>
              <w:rPr>
                <w:sz w:val="20"/>
                <w:szCs w:val="20"/>
                <w:color w:val="auto"/>
              </w:rPr>
            </w:pPr>
            <w:r>
              <w:rPr>
                <w:rFonts w:ascii="Arial" w:cs="Arial" w:eastAsia="Arial" w:hAnsi="Arial"/>
                <w:sz w:val="14"/>
                <w:szCs w:val="14"/>
                <w:b w:val="1"/>
                <w:bCs w:val="1"/>
                <w:color w:val="auto"/>
              </w:rPr>
              <w:t>Liability</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8"/>
                <w:szCs w:val="18"/>
                <w:color w:val="auto"/>
              </w:rPr>
              <w:t>April 1, 2013</w:t>
            </w:r>
          </w:p>
        </w:tc>
        <w:tc>
          <w:tcPr>
            <w:tcW w:w="31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Borders>
              <w:top w:val="single" w:sz="8" w:color="auto"/>
            </w:tcBorders>
          </w:tcPr>
          <w:p>
            <w:pPr>
              <w:jc w:val="right"/>
              <w:ind w:right="14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9"/>
                <w:szCs w:val="19"/>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Warrant issuance with senior secured term loan</w:t>
            </w:r>
          </w:p>
        </w:tc>
        <w:tc>
          <w:tcPr>
            <w:tcW w:w="15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Mark to market adjustment</w:t>
            </w: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(525)</w:t>
            </w:r>
          </w:p>
        </w:tc>
        <w:tc>
          <w:tcPr>
            <w:tcW w:w="44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Extinguishment of derivative liability</w:t>
            </w:r>
          </w:p>
        </w:tc>
        <w:tc>
          <w:tcPr>
            <w:tcW w:w="15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Balance at March 31, 2014</w:t>
            </w:r>
          </w:p>
        </w:tc>
        <w:tc>
          <w:tcPr>
            <w:tcW w:w="15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14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jc w:val="both"/>
        <w:ind w:right="20" w:firstLine="518"/>
        <w:spacing w:after="0" w:line="264" w:lineRule="auto"/>
        <w:rPr>
          <w:sz w:val="20"/>
          <w:szCs w:val="20"/>
          <w:color w:val="auto"/>
        </w:rPr>
      </w:pPr>
      <w:r>
        <w:rPr>
          <w:rFonts w:ascii="Arial" w:cs="Arial" w:eastAsia="Arial" w:hAnsi="Arial"/>
          <w:sz w:val="18"/>
          <w:szCs w:val="18"/>
          <w:color w:val="auto"/>
        </w:rPr>
        <w:t>The following table provides the assets and liabilities measured at fair value on a non-recurring basis, as of March 31, 2014 (in thousands). During the year ended March 31, 2015 the following asset was determined to be no longer recoverable and was fully impaired. See note 15, “Minority Investments” for further details: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204"/>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ind w:right="204"/>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Observable Inputs</w:t>
            </w:r>
          </w:p>
        </w:tc>
        <w:tc>
          <w:tcPr>
            <w:tcW w:w="220" w:type="dxa"/>
            <w:vAlign w:val="bottom"/>
          </w:tcPr>
          <w:p>
            <w:pPr>
              <w:spacing w:after="0"/>
              <w:rPr>
                <w:sz w:val="19"/>
                <w:szCs w:val="19"/>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center"/>
              <w:ind w:right="204"/>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21"/>
                <w:szCs w:val="21"/>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4560" w:type="dxa"/>
            <w:vAlign w:val="bottom"/>
            <w:vMerge w:val="restart"/>
          </w:tcPr>
          <w:p>
            <w:pPr>
              <w:spacing w:after="0"/>
              <w:rPr>
                <w:sz w:val="20"/>
                <w:szCs w:val="20"/>
                <w:color w:val="auto"/>
              </w:rPr>
            </w:pPr>
            <w:r>
              <w:rPr>
                <w:rFonts w:ascii="Arial" w:cs="Arial" w:eastAsia="Arial" w:hAnsi="Arial"/>
                <w:sz w:val="18"/>
                <w:szCs w:val="18"/>
                <w:color w:val="auto"/>
              </w:rPr>
              <w:t>March 31, 2014:</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w w:val="99"/>
              </w:rPr>
              <w:t>Investment in unconsolidated entity – Blade Dynamics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3,690</w:t>
            </w:r>
          </w:p>
        </w:tc>
        <w:tc>
          <w:tcPr>
            <w:tcW w:w="1880" w:type="dxa"/>
            <w:vAlign w:val="bottom"/>
            <w:gridSpan w:val="2"/>
          </w:tcPr>
          <w:p>
            <w:pPr>
              <w:jc w:val="right"/>
              <w:ind w:right="13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tcPr>
          <w:p>
            <w:pPr>
              <w:jc w:val="right"/>
              <w:ind w:right="138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 and money market accounts.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Warrants were issued in conjunction with a Securities Purchase Agreement with Capital Ventures International (“CVI”), an equity offering to Hudson Bay Capital in November 2014, and a Loan and Security Agreement with Hercules Technology Growth Capital, Inc (“Hercules”). (See Note 9, “Debt,” and Note 10 “Warrants and Derivative Liabilities,” for additional information.) These warrants are subject to revaluation at each balance sheet date, and any change in fair value will be recorded as a change in fair value in derivatives and warrants until the earlier of their exercise or expiration.</w:t>
      </w:r>
    </w:p>
    <w:p>
      <w:pPr>
        <w:spacing w:after="0" w:line="17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The Company relies on various assumptions in a lattice model to determine the fair value of warrants. The Company has valued the warrants within Level 3 of the valuation hierarchy. (See Note 10, “Warrants and Derivative Liabilities,” for a discussion of the warrants and the valuation assumptions used.)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Investment</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accounts for the minority investment in Blade Dynamics on a cost basis (See Note 15, “Minority Investments”). During the year ended March 31, 2014, the Company determined that as a result of its efforts to sell its investment in Blade Dynamics, certain indicators of impairment existed which required the Company to perform further analysis. Based on analysis which included potential sale scenarios of the investment, the Company recorded an impairment charge of approximately $1.3 million and reported the investment at its estimated fair value as of March 31, 2014.</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During the year ended March 31, 2015, the Company determined that as a result of a dilutive financing which resulted in the Company losing certain of its shareholder rights, as well as certain operational issues and adverse changes to the potential sale scenarios previously considered, its investment in Blade Dynamics was no longer recoverable and therefore recorded a charge of $3.5 million to fully impair the investment.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at March 31, 2015 and 2014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0" w:type="dxa"/>
            <w:vAlign w:val="bottom"/>
          </w:tcPr>
          <w:p>
            <w:pPr>
              <w:jc w:val="right"/>
              <w:ind w:right="46"/>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348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7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60" w:type="dxa"/>
            <w:vAlign w:val="bottom"/>
            <w:vMerge w:val="restart"/>
          </w:tcPr>
          <w:p>
            <w:pPr>
              <w:spacing w:after="0"/>
              <w:rPr>
                <w:sz w:val="20"/>
                <w:szCs w:val="20"/>
                <w:color w:val="auto"/>
              </w:rPr>
            </w:pPr>
            <w:r>
              <w:rPr>
                <w:rFonts w:ascii="Arial" w:cs="Arial" w:eastAsia="Arial" w:hAnsi="Arial"/>
                <w:sz w:val="18"/>
                <w:szCs w:val="18"/>
                <w:color w:val="auto"/>
              </w:rPr>
              <w:t>Accounts receivable (billed)</w:t>
            </w:r>
          </w:p>
        </w:tc>
        <w:tc>
          <w:tcPr>
            <w:tcW w:w="34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1400" w:type="dxa"/>
            <w:vAlign w:val="bottom"/>
            <w:tcBorders>
              <w:top w:val="single" w:sz="8" w:color="auto"/>
            </w:tcBorders>
          </w:tcPr>
          <w:p>
            <w:pPr>
              <w:jc w:val="right"/>
              <w:ind w:right="12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8,946</w:t>
            </w:r>
          </w:p>
        </w:tc>
        <w:tc>
          <w:tcPr>
            <w:tcW w:w="4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(unbilled)</w:t>
            </w:r>
          </w:p>
        </w:tc>
        <w:tc>
          <w:tcPr>
            <w:tcW w:w="20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Accounts receivable, net</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124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476" w:right="239" w:bottom="1440" w:gutter="0" w:footer="0" w:header="0"/>
        </w:sectPr>
      </w:pPr>
    </w:p>
    <w:bookmarkStart w:id="69" w:name="page70"/>
    <w:bookmarkEnd w:id="69"/>
    <w:p>
      <w:pPr>
        <w:jc w:val="both"/>
        <w:ind w:firstLine="518"/>
        <w:spacing w:after="0" w:line="264" w:lineRule="auto"/>
        <w:rPr>
          <w:sz w:val="20"/>
          <w:szCs w:val="20"/>
          <w:color w:val="auto"/>
        </w:rPr>
      </w:pPr>
      <w:r>
        <w:rPr>
          <w:rFonts w:ascii="Arial" w:cs="Arial" w:eastAsia="Arial" w:hAnsi="Arial"/>
          <w:sz w:val="18"/>
          <w:szCs w:val="18"/>
          <w:color w:val="auto"/>
        </w:rPr>
        <w:t>As of March 31, 2015, one customer, Inox Wind Limited (“Inox”), accounted for approximately 56% of the Company’s total receivable balance. As of March 31, 2014, three customers, Inox, CGPS, and JCNE, accounted for approximately 20%, 14% and 13%, respectively, of the Company’s total receivable balance.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at March 31, 2015 and 2014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398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7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2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39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2620" w:type="dxa"/>
            <w:vAlign w:val="bottom"/>
          </w:tcPr>
          <w:p>
            <w:pPr>
              <w:spacing w:after="0"/>
              <w:rPr>
                <w:sz w:val="19"/>
                <w:szCs w:val="19"/>
                <w:color w:val="auto"/>
              </w:rPr>
            </w:pPr>
          </w:p>
        </w:tc>
        <w:tc>
          <w:tcPr>
            <w:tcW w:w="1360" w:type="dxa"/>
            <w:vAlign w:val="bottom"/>
            <w:tcBorders>
              <w:top w:val="single" w:sz="8" w:color="auto"/>
            </w:tcBorders>
          </w:tcPr>
          <w:p>
            <w:pPr>
              <w:jc w:val="right"/>
              <w:ind w:right="12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4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6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Finished goods</w:t>
            </w:r>
          </w:p>
        </w:tc>
        <w:tc>
          <w:tcPr>
            <w:tcW w:w="2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7,487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Deferred program costs</w:t>
            </w:r>
          </w:p>
        </w:tc>
        <w:tc>
          <w:tcPr>
            <w:tcW w:w="26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4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140"/>
              <w:spacing w:after="0"/>
              <w:rPr>
                <w:sz w:val="20"/>
                <w:szCs w:val="20"/>
                <w:color w:val="auto"/>
              </w:rPr>
            </w:pPr>
            <w:r>
              <w:rPr>
                <w:rFonts w:ascii="Arial" w:cs="Arial" w:eastAsia="Arial" w:hAnsi="Arial"/>
                <w:sz w:val="18"/>
                <w:szCs w:val="18"/>
                <w:color w:val="auto"/>
              </w:rPr>
              <w:t>Net inventory</w:t>
            </w:r>
          </w:p>
        </w:tc>
        <w:tc>
          <w:tcPr>
            <w:tcW w:w="2620" w:type="dxa"/>
            <w:vAlign w:val="bottom"/>
          </w:tcPr>
          <w:p>
            <w:pPr>
              <w:spacing w:after="0"/>
              <w:rPr>
                <w:sz w:val="19"/>
                <w:szCs w:val="19"/>
                <w:color w:val="auto"/>
              </w:rPr>
            </w:pPr>
          </w:p>
        </w:tc>
        <w:tc>
          <w:tcPr>
            <w:tcW w:w="1360" w:type="dxa"/>
            <w:vAlign w:val="bottom"/>
            <w:tcBorders>
              <w:bottom w:val="single" w:sz="8" w:color="auto"/>
            </w:tcBorders>
          </w:tcPr>
          <w:p>
            <w:pPr>
              <w:jc w:val="right"/>
              <w:ind w:right="12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20,596</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recorded inventory write-downs of $1.4 million and $0.3 million for the years ended March 31, 2015 and 2014, respectively. These write downs were based on evaluating its inventory on hand for excess quantities and obsolescence.</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Deferred program costs as of March 31, 2015 and 2014 primarily represent costs incurred on programs accounted for under contract accounting where the Company needs to complete development milestones before revenue and costs will be recognized.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cost and accumulated depreciation of property and equipment at March 31, 2015 and 2014 are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344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7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2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3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jc w:val="right"/>
              <w:ind w:right="116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4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 - equipment</w:t>
            </w:r>
          </w:p>
        </w:tc>
        <w:tc>
          <w:tcPr>
            <w:tcW w:w="2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Buildings</w:t>
            </w: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34,549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Equipment and software</w:t>
            </w:r>
          </w:p>
        </w:tc>
        <w:tc>
          <w:tcPr>
            <w:tcW w:w="2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81,855</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1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4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125,465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(69,368)</w:t>
            </w: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(63,952)</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6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56,097</w:t>
            </w: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Depreciation expense was $9.0 million, $9.9 million, and $12.1 million, for the years ended March 31, 2015, 2014, and 2013, respectively. (See Note 16, “Restructuring and Impairments,” for additional information regarding the effect the Company’s restructuring plan had on property, plant and equipment.)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at March 31, 2015 and 2014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8"/>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0"/>
                <w:szCs w:val="20"/>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Net Book</w:t>
            </w:r>
          </w:p>
        </w:tc>
        <w:tc>
          <w:tcPr>
            <w:tcW w:w="12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Net Book</w:t>
            </w:r>
          </w:p>
        </w:tc>
        <w:tc>
          <w:tcPr>
            <w:tcW w:w="3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215"/>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8"/>
                <w:szCs w:val="18"/>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8"/>
                <w:szCs w:val="18"/>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8"/>
                <w:szCs w:val="18"/>
                <w:color w:val="auto"/>
              </w:rPr>
            </w:pPr>
          </w:p>
        </w:tc>
        <w:tc>
          <w:tcPr>
            <w:tcW w:w="76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77"/>
              </w:rPr>
              <w:t>(3,328)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0"/>
              </w:rPr>
              <w:t>(2,962)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3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322"/>
              <w:spacing w:after="0"/>
              <w:rPr>
                <w:sz w:val="20"/>
                <w:szCs w:val="20"/>
                <w:color w:val="auto"/>
              </w:rPr>
            </w:pPr>
            <w:r>
              <w:rPr>
                <w:rFonts w:ascii="Arial" w:cs="Arial" w:eastAsia="Arial" w:hAnsi="Arial"/>
                <w:sz w:val="18"/>
                <w:szCs w:val="18"/>
                <w:color w:val="auto"/>
              </w:rPr>
              <w:t>7</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(5,252)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w:t>
            </w:r>
          </w:p>
        </w:tc>
        <w:tc>
          <w:tcPr>
            <w:tcW w:w="1260" w:type="dxa"/>
            <w:vAlign w:val="bottom"/>
            <w:gridSpan w:val="2"/>
          </w:tcPr>
          <w:p>
            <w:pPr>
              <w:jc w:val="right"/>
              <w:ind w:right="202"/>
              <w:spacing w:after="0"/>
              <w:rPr>
                <w:sz w:val="20"/>
                <w:szCs w:val="20"/>
                <w:color w:val="auto"/>
              </w:rPr>
            </w:pPr>
            <w:r>
              <w:rPr>
                <w:rFonts w:ascii="Arial" w:cs="Arial" w:eastAsia="Arial" w:hAnsi="Arial"/>
                <w:sz w:val="18"/>
                <w:szCs w:val="18"/>
                <w:color w:val="auto"/>
              </w:rPr>
              <w:t>5-10</w:t>
            </w: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77"/>
              </w:rPr>
              <w:t>(7,858)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0"/>
              </w:rPr>
              <w:t>(8,214)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20"/>
          </w:cols>
          <w:pgMar w:left="240" w:top="368" w:right="239" w:bottom="1440" w:gutter="0" w:footer="0" w:header="0"/>
        </w:sectPr>
      </w:pPr>
    </w:p>
    <w:bookmarkStart w:id="70" w:name="page71"/>
    <w:bookmarkEnd w:id="70"/>
    <w:p>
      <w:pPr>
        <w:ind w:firstLine="518"/>
        <w:spacing w:after="0" w:line="277" w:lineRule="auto"/>
        <w:rPr>
          <w:sz w:val="20"/>
          <w:szCs w:val="20"/>
          <w:color w:val="auto"/>
        </w:rPr>
      </w:pPr>
      <w:r>
        <w:rPr>
          <w:rFonts w:ascii="Arial" w:cs="Arial" w:eastAsia="Arial" w:hAnsi="Arial"/>
          <w:sz w:val="18"/>
          <w:szCs w:val="18"/>
          <w:color w:val="auto"/>
        </w:rPr>
        <w:t>The Company recorded intangible amortization expense of $0.6 million, $0.8 million, and $0.9 million for the years ended March 31, 2015, 2014, and 2013,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ind w:left="3440"/>
              <w:spacing w:after="0"/>
              <w:rPr>
                <w:sz w:val="20"/>
                <w:szCs w:val="20"/>
                <w:color w:val="auto"/>
              </w:rPr>
            </w:pPr>
            <w:r>
              <w:rPr>
                <w:rFonts w:ascii="Arial" w:cs="Arial" w:eastAsia="Arial" w:hAnsi="Arial"/>
                <w:sz w:val="14"/>
                <w:szCs w:val="14"/>
                <w:b w:val="1"/>
                <w:bCs w:val="1"/>
                <w:color w:val="auto"/>
              </w:rPr>
              <w:t>For the years ended March 31,</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20"/>
              <w:spacing w:after="0"/>
              <w:rPr>
                <w:sz w:val="20"/>
                <w:szCs w:val="20"/>
                <w:color w:val="auto"/>
              </w:rPr>
            </w:pPr>
            <w:r>
              <w:rPr>
                <w:rFonts w:ascii="Arial" w:cs="Arial" w:eastAsia="Arial" w:hAnsi="Arial"/>
                <w:sz w:val="18"/>
                <w:szCs w:val="18"/>
                <w:color w:val="auto"/>
              </w:rPr>
              <w:t>The geographic composition of intangible assets is as follows (in thousands):</w:t>
            </w: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5"/>
              </w:rPr>
              <w:t>March 31,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740" w:type="dxa"/>
            <w:vAlign w:val="bottom"/>
          </w:tcPr>
          <w:p>
            <w:pPr>
              <w:spacing w:after="0"/>
              <w:rPr>
                <w:sz w:val="17"/>
                <w:szCs w:val="17"/>
                <w:color w:val="auto"/>
              </w:rPr>
            </w:pPr>
          </w:p>
        </w:tc>
        <w:tc>
          <w:tcPr>
            <w:tcW w:w="152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spacing w:after="0"/>
              <w:rPr>
                <w:sz w:val="20"/>
                <w:szCs w:val="20"/>
                <w:color w:val="auto"/>
              </w:rPr>
            </w:pPr>
            <w:r>
              <w:rPr>
                <w:rFonts w:ascii="Arial" w:cs="Arial" w:eastAsia="Arial" w:hAnsi="Arial"/>
                <w:sz w:val="18"/>
                <w:szCs w:val="18"/>
                <w:color w:val="auto"/>
              </w:rPr>
              <w:t>Intangible assets by geography:</w:t>
            </w: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520" w:type="dxa"/>
            <w:vAlign w:val="bottom"/>
            <w:gridSpan w:val="2"/>
            <w:shd w:val="clear" w:color="auto" w:fill="CFF0FC"/>
          </w:tcPr>
          <w:p>
            <w:pPr>
              <w:jc w:val="right"/>
              <w:ind w:right="116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20"/>
              <w:spacing w:after="0"/>
              <w:rPr>
                <w:sz w:val="20"/>
                <w:szCs w:val="20"/>
                <w:color w:val="auto"/>
              </w:rPr>
            </w:pPr>
            <w:r>
              <w:rPr>
                <w:rFonts w:ascii="Arial" w:cs="Arial" w:eastAsia="Arial" w:hAnsi="Arial"/>
                <w:sz w:val="18"/>
                <w:szCs w:val="18"/>
                <w:color w:val="auto"/>
                <w:w w:val="92"/>
              </w:rPr>
              <w:t>The business segment composition of intangible assets is as follows (in thousands):</w:t>
            </w: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5"/>
              </w:rPr>
              <w:t>March 31,</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740" w:type="dxa"/>
            <w:vAlign w:val="bottom"/>
          </w:tcPr>
          <w:p>
            <w:pPr>
              <w:spacing w:after="0"/>
              <w:rPr>
                <w:sz w:val="17"/>
                <w:szCs w:val="17"/>
                <w:color w:val="auto"/>
              </w:rPr>
            </w:pPr>
          </w:p>
        </w:tc>
        <w:tc>
          <w:tcPr>
            <w:tcW w:w="152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ind w:right="7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spacing w:after="0"/>
              <w:rPr>
                <w:sz w:val="20"/>
                <w:szCs w:val="20"/>
                <w:color w:val="auto"/>
              </w:rPr>
            </w:pPr>
            <w:r>
              <w:rPr>
                <w:rFonts w:ascii="Arial" w:cs="Arial" w:eastAsia="Arial" w:hAnsi="Arial"/>
                <w:sz w:val="18"/>
                <w:szCs w:val="18"/>
                <w:color w:val="auto"/>
              </w:rPr>
              <w:t>Intangible assets by business segments:</w:t>
            </w: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Wind</w:t>
            </w:r>
          </w:p>
        </w:tc>
        <w:tc>
          <w:tcPr>
            <w:tcW w:w="1520" w:type="dxa"/>
            <w:vAlign w:val="bottom"/>
            <w:gridSpan w:val="2"/>
            <w:shd w:val="clear" w:color="auto" w:fill="CFF0FC"/>
          </w:tcPr>
          <w:p>
            <w:pPr>
              <w:jc w:val="right"/>
              <w:ind w:right="116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Grid</w:t>
            </w: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1,422</w:t>
            </w:r>
          </w:p>
        </w:tc>
        <w:tc>
          <w:tcPr>
            <w:tcW w:w="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expenses at March 31, 2015 and 2014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920" w:type="dxa"/>
            <w:vAlign w:val="bottom"/>
          </w:tcPr>
          <w:p>
            <w:pPr>
              <w:spacing w:after="0"/>
              <w:rPr>
                <w:sz w:val="18"/>
                <w:szCs w:val="18"/>
                <w:color w:val="auto"/>
              </w:rPr>
            </w:pPr>
          </w:p>
        </w:tc>
        <w:tc>
          <w:tcPr>
            <w:tcW w:w="3300" w:type="dxa"/>
            <w:vAlign w:val="bottom"/>
            <w:gridSpan w:val="2"/>
          </w:tcPr>
          <w:p>
            <w:pPr>
              <w:jc w:val="right"/>
              <w:ind w:right="85"/>
              <w:spacing w:after="0"/>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3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280" w:type="dxa"/>
            <w:vAlign w:val="bottom"/>
            <w:tcBorders>
              <w:top w:val="single" w:sz="8" w:color="auto"/>
            </w:tcBorders>
          </w:tcPr>
          <w:p>
            <w:pPr>
              <w:jc w:val="right"/>
              <w:ind w:right="11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44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Accrued inventories in-transit</w:t>
            </w:r>
          </w:p>
        </w:tc>
        <w:tc>
          <w:tcPr>
            <w:tcW w:w="20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Accrued miscellaneous expenses</w:t>
            </w:r>
          </w:p>
        </w:tc>
        <w:tc>
          <w:tcPr>
            <w:tcW w:w="2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2,695</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Accrued outside services</w:t>
            </w:r>
          </w:p>
        </w:tc>
        <w:tc>
          <w:tcPr>
            <w:tcW w:w="20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Accrued subcontractor program costs</w:t>
            </w:r>
          </w:p>
        </w:tc>
        <w:tc>
          <w:tcPr>
            <w:tcW w:w="2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0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4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taxes payable</w:t>
            </w: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278</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Accrued adverse purchase commitments</w:t>
            </w:r>
          </w:p>
        </w:tc>
        <w:tc>
          <w:tcPr>
            <w:tcW w:w="202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warranty</w:t>
            </w:r>
          </w:p>
        </w:tc>
        <w:tc>
          <w:tcPr>
            <w:tcW w:w="202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44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1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21,615</w:t>
            </w:r>
          </w:p>
        </w:tc>
        <w:tc>
          <w:tcPr>
            <w:tcW w:w="4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warranty activity was as follows (in thousands):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58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For the years ended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vMerge w:val="restart"/>
          </w:tcPr>
          <w:p>
            <w:pPr>
              <w:spacing w:after="0"/>
              <w:rPr>
                <w:sz w:val="20"/>
                <w:szCs w:val="20"/>
                <w:color w:val="auto"/>
              </w:rPr>
            </w:pPr>
            <w:r>
              <w:rPr>
                <w:rFonts w:ascii="Arial" w:cs="Arial" w:eastAsia="Arial" w:hAnsi="Arial"/>
                <w:sz w:val="18"/>
                <w:szCs w:val="18"/>
                <w:color w:val="auto"/>
              </w:rPr>
              <w:t>Balance at beginning of period</w:t>
            </w:r>
          </w:p>
        </w:tc>
        <w:tc>
          <w:tcPr>
            <w:tcW w:w="1500" w:type="dxa"/>
            <w:vAlign w:val="bottom"/>
          </w:tcPr>
          <w:p>
            <w:pPr>
              <w:spacing w:after="0"/>
              <w:rPr>
                <w:sz w:val="13"/>
                <w:szCs w:val="13"/>
                <w:color w:val="auto"/>
              </w:rPr>
            </w:pPr>
          </w:p>
        </w:tc>
        <w:tc>
          <w:tcPr>
            <w:tcW w:w="130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jc w:val="right"/>
              <w:ind w:right="114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3,207</w:t>
            </w:r>
          </w:p>
        </w:tc>
        <w:tc>
          <w:tcPr>
            <w:tcW w:w="44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accruals for warranties during the period</w:t>
            </w:r>
          </w:p>
        </w:tc>
        <w:tc>
          <w:tcPr>
            <w:tcW w:w="1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Settlements during the period</w:t>
            </w: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(2,112)</w:t>
            </w:r>
          </w:p>
        </w:tc>
        <w:tc>
          <w:tcPr>
            <w:tcW w:w="6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114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Convertible Note</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April 4, 2012, the Company entered into the Purchase Agreement with CVI and completed a private placement of a senior convertible note, (the “Initial Note”). After fees and expenses, the net proceeds of the Initial Note were $23.2 million. The Initial Note had an initial conversion price of $48.50 per share, representing a premium of approximately 20% over AMSC’s closing price on April 3, 2012, as adjusted for the reverse stock split. The Initial Note was payable in monthly installments beginning four months from issuance and ending on October 4, 2014. Monthly payments were payable in cash or the Company’s common stock at the option of the Company, subject to certain trading volume, stock price and other conditions. CVI could elect to defer receipt of monthly installment payments at its option. Any deferred installment payments would continue to accrue interest. The Company registered 1,026,231 shares of common stock which could be used as payment for principal and interest in lieu of cash for resale under the Securities Act of 1933, as amended (the “Securities Act”) as required under a Registration Rights Agreement with CVI.</w:t>
      </w:r>
    </w:p>
    <w:p>
      <w:pPr>
        <w:spacing w:after="0" w:line="17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 xml:space="preserve">The Company accounted for the Initial Note as an instrument that has the characteristics of a debt host contract containing several embedded derivative features that would require bifurcation and separate accounting as a derivative instrument pursuant to the provisions of ASC Topic 815 –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(ASC 815). The Company elected not to use the fair value option for the aggregate amount of the Initial Note and recorded the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at its stated value on the date of issuance with no changes in fair value reported in subsequent periods. The Company identified the following derivatives associated with the Initial Note: holder change of control redemption rights; issuer original redemption rights; sale redemption rights; and a feature to convert the Initial Note into equity at the holder’s option. The Company valued these derivatives at $3.8 million upon issuance of the Initial Note. (See Note 10, “Warrants and Derivative Liabilities,” for additional information regarding derivative liabilities.)</w:t>
      </w:r>
    </w:p>
    <w:p>
      <w:pPr>
        <w:spacing w:after="0" w:line="178"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In conjunction with the Initial Note, CVI received a warrant to purchase 309,406 additional shares of common stock exercisable at a strike price of $54.50 per share, subject to adjustment, until October 4, 2017. Due to certain adjustment provisions within the warrant, it qualified for liability accounting and had a fair value of $7.0 million upon issuance. The Company recorded the value as a debt discount and a warrant liability. (See Note 10, “Warrants and Derivative Liabilities,” for additional information regarding the warrant.)</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December 20, 2012, the Company entered into an Amendment and Exchange Agreement, (the “Amendment”) with CVI, which amended the Purchase Agreement. Pursuant to the Amendment, the Company and CVI exchanged the Initial Note for the Exchanged Note. At the time of the exchange, the Exchanged Note had the same principal amount and accrued interest as the Initial Note. The Exchanged Note was convertible into the Company’s common stock and had the same scheduled monthly installment payments as the Initial Note. The Exchanged Note provided the Company with additional flexibility to make monthly installment payments in shares of the Company’s common stock. The Company retained the ability to repay the Exchanged Note in cash.</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 assessed the changes in the Exchanged Note and accounted for it as a modification of the Initial Note. Therefore, the Company determined the incremental value of the derivative instruments, as a result of the Exchanged Note, as having a reduced conversion price. As a result of the re-valuation, the Company recorded a $0.5 million increase in the value of the derivative liability and additional debt discount. At the modification date, the value of the derivative liability was $1.5 million. The total debt discount, including the embedded derivatives in the Initial Note, the incremental value of embedded derivatives in the Exchanged Note, warrant and legal and origination costs of $13.1 million was amortized into interest expense over the term of the Exchanged Note using the effective interest method. Under this method, interest expense was recognized each period until the debt instruments reached maturity. Given that the maturity of the Exchanged Note was accelerated due to prepayment, the amortization was accelerated.</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9, 2013, the Company entered into a Second Amendment and Warrant Exchange Agreement (the “CVI Second Amendment”) with CVI. The CVI Second Amendment further amended the Purchase Agreement, as amended by the Amendment (collectively, the “Amended Purchase Agreement”), that the Company previously entered into with CVI.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617" w:right="239" w:bottom="1440" w:gutter="0" w:footer="0" w:header="0"/>
        </w:sectPr>
      </w:pPr>
    </w:p>
    <w:bookmarkStart w:id="72" w:name="page73"/>
    <w:bookmarkEnd w:id="72"/>
    <w:p>
      <w:pPr>
        <w:jc w:val="both"/>
        <w:ind w:firstLine="518"/>
        <w:spacing w:after="0" w:line="264" w:lineRule="auto"/>
        <w:rPr>
          <w:sz w:val="20"/>
          <w:szCs w:val="20"/>
          <w:color w:val="auto"/>
        </w:rPr>
      </w:pPr>
      <w:r>
        <w:rPr>
          <w:rFonts w:ascii="Arial" w:cs="Arial" w:eastAsia="Arial" w:hAnsi="Arial"/>
          <w:sz w:val="18"/>
          <w:szCs w:val="18"/>
          <w:color w:val="auto"/>
        </w:rPr>
        <w:t>Pursuant to the CVI Second Amendment, the Company and/or CVI waived certain provisions of the Amended Purchase Agreement and amended certain provisions of the Exchanged Note and exchanged the warrant (the “Original Warrant”) for a new warrant (the Exchanged Warrant”) with a reduced exercise price of $26.10 per share of common stock.</w:t>
      </w:r>
    </w:p>
    <w:p>
      <w:pPr>
        <w:spacing w:after="0" w:line="18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assessed the changes to the Exchanged Note included in the CVI Second Amendment and accounted for it as a modification of the Exchanged Note. Therefore, the Company determined the incremental value of the derivative instruments, as a result of the CVI Second Amendment, specifically the Exchanged Warrant. (See Note 10 “Warrants and Derivative Liabilities” for discussion of the valuation of the Exchanged Warrant.)</w:t>
      </w:r>
    </w:p>
    <w:p>
      <w:pPr>
        <w:spacing w:after="0" w:line="14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During the years ended March 31, 2014 and 2013, the Company recorded non-cash interest expense for amortization of the debt discount related to the convertible notes of $4.1 million and $8.2 million respectively.</w:t>
      </w:r>
    </w:p>
    <w:p>
      <w:pPr>
        <w:spacing w:after="0" w:line="170" w:lineRule="exact"/>
        <w:rPr>
          <w:sz w:val="20"/>
          <w:szCs w:val="20"/>
          <w:color w:val="auto"/>
        </w:rPr>
      </w:pPr>
    </w:p>
    <w:p>
      <w:pPr>
        <w:jc w:val="both"/>
        <w:ind w:firstLine="518"/>
        <w:spacing w:after="0" w:line="316" w:lineRule="auto"/>
        <w:rPr>
          <w:sz w:val="20"/>
          <w:szCs w:val="20"/>
          <w:color w:val="auto"/>
        </w:rPr>
      </w:pPr>
      <w:r>
        <w:rPr>
          <w:rFonts w:ascii="Arial" w:cs="Arial" w:eastAsia="Arial" w:hAnsi="Arial"/>
          <w:sz w:val="15"/>
          <w:szCs w:val="15"/>
          <w:color w:val="auto"/>
        </w:rPr>
        <w:t>Provided certain equity conditions were met, the Company could elect to repay principal and interest in shares of the Company’s common stock. If the Company elected to make a payment in shares of the Company’s common stock, the number of shares issued was determined by dividing the amount of such payment by 85% of the lessor of the average volume-weighted average price (“VWAP”) of the 10 consecutive days immediately preceding the payment date or the VWAP price on the day preceding the payment date (the “Market Price”). The Company recorded the difference between the closing price of its common stock on the day preceding the payment date and the Market Price as a discount on the fair value of its shares. During the years ended March 31, 2014 and 2013, the Company recorded $2.9 million and $3.6 million, respectively, of non-cash interest expense related to installment payments made by issuing the Company’s common stock at a discount.</w:t>
      </w:r>
    </w:p>
    <w:p>
      <w:pPr>
        <w:spacing w:after="0" w:line="15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March 2, 2014, the Company entered into an Exchange Agreement with CVI, pursuant to which the Company exchanged the Exchanged Note for approximately 663,000 shares of common stock and extinguished the debt. As a result of this transaction, the Company recorded a loss on the extinguishment of debt of $5.2 million during the three months ended March 31, 2014.</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Secured Term Loans</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On June 5, 2012, the Company entered into a Loan and Security Agreement with Hercules (the “Term Loan”), under which the Company borrowed $10.0 million. After the closing fees and expenses, the net proceeds to the Company were $9.7 million. The Term Loan bears an interest rate equal to 11% plus the percentage, if any, by which the prime rate as reported by The Wall Street Journal exceeds 3.75%. The Company made interest-only payments from July 1, 2012 through October 31, 2012, after which the Company began repaying the Term Loan in equal monthly installments ending on December 1, 2014, when the loan was repaid in full. In addition, Hercules received a warrant (the “First Warrant”) to purchase 13,927 shares of common stock, exercisable at an initial strike price of $35.90 per share, subject to adjustment, until December 5, 2017. Due to certain adjustment provisions within the warrant, it qualified for liability accounting and the fair value of $0.4 million was recorded upon issuance, which the Company recorded as a debt discount and a warrant liability. The Company paid an end of term fee of $0.5 million upon the maturity of the loan on December 1, 2014. Initially, the Company had accrued the end of term fee and recorded a corresponding amount into the debt discount. In addition, the Company incurred $0.3 million of legal and origination costs in the year ended March 31, 2013, which have been recorded as a debt discount. The total debt discount including the First Warrant, end of term fee and legal and origination costs of $1.2 million was amortized into interest expense over the term of the Term Loan using the effective interest method. Under this method, interest expense was recognized each period until the debt instrument reached maturity. During the years ended March 31, 2015 and 2014, the Company recorded non-cash interest expense for amortization of the debt discount related to the Term Loan of less than $0.1 million and $0.5 million,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518"/>
        <w:spacing w:after="0" w:line="267" w:lineRule="auto"/>
        <w:rPr>
          <w:sz w:val="20"/>
          <w:szCs w:val="20"/>
          <w:color w:val="auto"/>
        </w:rPr>
      </w:pPr>
      <w:r>
        <w:rPr>
          <w:rFonts w:ascii="Arial" w:cs="Arial" w:eastAsia="Arial" w:hAnsi="Arial"/>
          <w:sz w:val="17"/>
          <w:szCs w:val="17"/>
          <w:color w:val="auto"/>
        </w:rPr>
        <w:t>On November 15, 2013, the Company amended the Term Loan with Hercules and entered into a new term loan (the “New Term Loan B”), borrowing an additional $10.0 million. After closing fees and expenses, the net proceeds to the Company for the New Term Loan B were $9.8 million. The New Term Loan B bears the same interest rate as the Term Loan. The Company made interest-only payments from December 1, 2013 to May 31, 2014. If the Company achieved certain revenue targets for the six-month period ending March 31, 2014, interest only payments would continue through August 31, 2014. The Company did not meet these revenue targets. As a result, the Company is repaying the New Term Loan B in equal monthly installments ending on November 1, 2016. The principal balance of the New Term Loan B is approximately $6.7 million as of March 31, 2015. Hercules received a warrant (the “Second Warrant”) to purchase 25,641 shares of common stock, exercisable at an initial strike price of $19.50 per share, subject to adjustment, until May 15, 2019. In addition, the exercise price of the First Warrant was reduced to $19.50 per share. (See Note 10, “Warrants and Derivative Liabilities,” for a discussion on both warrants and the valuation assumptions used.) The Company will pay an end of term fee of $0.5 million upon the earlier of maturity or prepayment of the New Term Loan B. The Company has accrued the end of term fee and recorded a corresponding amount into the debt discount. The New Term Loan B includes a mandatory prepayment feature which allows Hercules the right to use any of the Company’s net proceeds from specified asset dispositions greater than $1.0 million in a calendar year to pay off any outstanding accrued interest and principal balance on the New Term Loan B. The Company determined the fair value to be de-minimis for this feature. In addition, the Company incurred $0.2 million of legal and origination costs in the year ended March 31, 2014, which have been recorded as a debt discount. The total debt discount including the Second Warrant, end of term fee and legal and origination costs of $1.0 million is being amortized into interest expense over the term of the New Term Loan B using the effective interest method. During the years ended March 31, 2015 and 2014, the Company recorded non-cash interest expense for amortization of the debt discount related to the New Term Loan B of $0.4 million and $0.2 million, respectively.</w:t>
      </w:r>
    </w:p>
    <w:p>
      <w:pPr>
        <w:spacing w:after="0" w:line="193"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On December 19, 2014, the Company entered into an amendment with Hercules (the “Hercules Second Amendment”) and entered into a new term loan (the “New Term Loan C”), borrowing an additional $1.5 million. After closing fees and expenses, the net proceeds to the Company for the New Term Loan C were $1.4 million (The Term Loan, New Term Loan B and New Term Loan C are collectively referred to as the “Term Loans”). The New Term Loan C also bears the same interest rate as the other Term Loans. The Company will make interest only payments until maturity on March 1, 2017, when the loan is scheduled to be repaid in its entirety. As a result of the Company’s equity raise on April 29, 2015, the maturity date of the loan was extended to June 1, 2017 (See Note 19, “Subsequent Events”). In conjunction with the Hercules Second Amendment, the First and Second Warrants were cancelled and replaced with the issuance of a new warrant (the “Warrant”) to purchase 58,823 shares of common stock at an exercise price of $11.10 per share, subject to adjustment. The Warrant expires on June 30, 2020. (See Note 10, “Warrants and Derivative Liabilities”, for a discussion on the Warrant and the valuation assumptions used.) The Company will pay an end of term fee of approximately $0.1 million upon earlier of maturity or prepayment of the New Term Loan</w:t>
      </w:r>
    </w:p>
    <w:p>
      <w:pPr>
        <w:spacing w:after="0" w:line="7" w:lineRule="exact"/>
        <w:rPr>
          <w:sz w:val="20"/>
          <w:szCs w:val="20"/>
          <w:color w:val="auto"/>
        </w:rPr>
      </w:pPr>
    </w:p>
    <w:p>
      <w:pPr>
        <w:jc w:val="both"/>
        <w:ind w:firstLine="8"/>
        <w:spacing w:after="0" w:line="252" w:lineRule="auto"/>
        <w:tabs>
          <w:tab w:leader="none" w:pos="2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accrued the end of term fee and recorded a corresponding amount in the debt discount. The New Term Loan C includes the same mandatory prepayment feature as the New Term Loan B. The Company determined the fair value to be de-minimus for this feature. In addition, the Company incurred approximately $0.1 million of legal and origination costs in the three months ended December 31, 2014, which have been recorded as a debt discount. The total debt discount, including the Warrant, end of term fee and legal and origination costs of $0.3 million is being amortized into interest expense over the term of the New Term Loan C using the effective interest method. During the year ended March 31, 2015 the Company recorded less than $0.1 million of non-cash interest expense related to the New Term Loan C. If the maturity of any of the Term Loans is accelerated because of prepayment, then the amortization will be accelerated.</w:t>
      </w:r>
    </w:p>
    <w:p>
      <w:pPr>
        <w:spacing w:after="0" w:line="193"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Term Loans are secured by substantially all of the Company’s existing and future assets, including a mortgage on real property owned by the Company’s wholly-owned subsidiary, ASC Devens LLC, and located at 64 Jackson Road, Devens, Massachusetts. The Term Loans contain certain covenants that restrict the Company’s ability to, among other things, incur or assume certain debt, merge or consolidate, materially change the nature of the Company’s business, make certain investments, acquire or dispose of certain assets, make guaranties or grant liens on its assets, make certain loans, advances or investments, declare dividends or make distributions or enter into transactions with affiliates. In addition, there is a covenant that requires the Company to maintain a minimum unrestricted cash balance (the “Minimum Threshold”) in the United States. As part of the Hercules Second Amendment, this Minimum Threshold was amended to be the lower of $5.0 million or the aggregate outstanding principal balance of the Term Loans. As of March 31, 2015, the Minimum Threshold was $5.0 million. As a result of the Company’s equity offering on April 29, 2015, the Minimum Threshold will be reduced to the lesser of $2.0 million or the aggregate outstanding principal balance of the Term Loans (See Note 19, “Subsequent Events”). The events of default under the Term Loans include, but are not limited to, failure to pay amounts due, breaches of covenants, bankruptcy events, cross defaults under other material indebtedness and the occurrence of a material adverse effect and/or change in control. In the case of a continuing event of default, Hercules may, among other remedies, declare due all unpaid principal amounts outstanding and any accrued but unpaid interest and foreclose on all collateral granted to Hercules as security under the Term Loans.</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Although the Company believes that as of March 31, 2015, it is in, and will remain in, compliance with the covenants and restrictions under the Term Loans, there can be no assurance that the Company will continue to be in compliance.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584" w:right="239" w:bottom="1440" w:gutter="0" w:footer="0" w:header="0"/>
        </w:sectPr>
      </w:pPr>
    </w:p>
    <w:bookmarkStart w:id="74" w:name="page75"/>
    <w:bookmarkEnd w:id="74"/>
    <w:p>
      <w:pPr>
        <w:jc w:val="both"/>
        <w:ind w:firstLine="518"/>
        <w:spacing w:after="0" w:line="264" w:lineRule="auto"/>
        <w:rPr>
          <w:sz w:val="20"/>
          <w:szCs w:val="20"/>
          <w:color w:val="auto"/>
        </w:rPr>
      </w:pPr>
      <w:r>
        <w:rPr>
          <w:rFonts w:ascii="Arial" w:cs="Arial" w:eastAsia="Arial" w:hAnsi="Arial"/>
          <w:sz w:val="18"/>
          <w:szCs w:val="18"/>
          <w:color w:val="auto"/>
        </w:rPr>
        <w:t>Interest expense on the Exchanged Note and Term Loans for the years ended March 31, 2015, 2014 and 2013, was $1.7 million, $9.7 million and $14.9 million, respectively, which included $0.5 million, $7.7 million and $12.4 million, respectively, of non-cash interest expense related to the amortization of the debt discount and payment of the Exchanged Note in Company common stock at a discount.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and Derivative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Convertible Note Warrant</w:t>
      </w:r>
    </w:p>
    <w:p>
      <w:pPr>
        <w:spacing w:after="0" w:line="117"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On April 4, 2012, the Company entered into the Purchase Agreement with CVI. The Purchase Agreement included the Original Warrant to purchase 309,406 shares of the Company’s common stock. The warrant is exercisable at any time on or after the date that is six months after the issuance of the warrant and entitles CVI to purchase shares of the Company’s common stock for a period of five years from the initial date the warrant becomes exercisable at a price equal to $54.50 per share, subject to certain price-based and other anti-dilution adjustments. On October 9, 2013, the Company amended the Purchase Agreement with CVI (the “Amendment”). Pursuant to the Amendment, the Company exchanged the Original Warrant for the Exchanged Warrant, with a reduced exercise price of $26.10 per share of common stock. Other than the reduced exercise price, the Exchanged Warrant has the same terms and conditions as the Original Warrant. As a result of the sales of common stock under the ATM (See Note 12, “Stockholders’ Equity”, for further discussion of the ATM) and the 909,090 units, each unit consisting of one share of common stock and 0.90 of a warrant to purchase one share of common stock (adjusted to reflect our 1-for-10 reverse stock on March 24, 2015) sold to Hudson Bay Capital during the three months ended December 31, 2014, the exercise price of the Exchanged Warrant was reduced to $22.10 per share. The Exchanged Warrant may not be exercised if, after giving effect to the conversion, CVI together with its affiliates would beneficially own in excess of 4.99% of the Company’s common stock. This percentage may be raised to any other percentage not in excess of 9.99% at the option of CVI, upon at least 61-days prior notice to the Company, or lowered to any other percentage, at the option of CVI, at any time.</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calculated the fair value of the derivative liabilities, (see Note 3, “Fair Value Measurements”, and Note 9, “Debt” for further discussion), and warrants utilizing an integrated lattice model. The lattice model is an option pricing model that involves the construction of a binomial tree to show the different paths that the underlying asset may take over the option’s life. A lattice model can take into account expected changes in various parameters such as volatility over the life of the options, providing more accurate estimates of option prices than the Black-Scholes model.</w:t>
      </w:r>
    </w:p>
    <w:p>
      <w:pPr>
        <w:spacing w:after="0" w:line="17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accounts for the Exchanged Warrant as a liability due to certain adjustment provisions within the warrant, which requires that it be recorded at fair value. The Exchanged Warrant is subject to revaluation at each balance sheet date and any change in fair value will be recorded as a change in fair value of derivatives and warrants until the earlier of its expiration or its exercise at which time the warrant liability will be reclassified to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584" w:right="2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warrant: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20" w:type="dxa"/>
            <w:vAlign w:val="bottom"/>
            <w:gridSpan w:val="2"/>
          </w:tcPr>
          <w:p>
            <w:pPr>
              <w:spacing w:after="0"/>
              <w:rPr>
                <w:sz w:val="20"/>
                <w:szCs w:val="20"/>
                <w:color w:val="auto"/>
              </w:rPr>
            </w:pPr>
            <w:r>
              <w:rPr>
                <w:rFonts w:ascii="Arial" w:cs="Arial" w:eastAsia="Arial" w:hAnsi="Arial"/>
                <w:sz w:val="18"/>
                <w:szCs w:val="18"/>
                <w:color w:val="auto"/>
              </w:rPr>
              <w:t>Fiscal Year 14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0.73%</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1.07%</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0.98%</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70.42%</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72.38%</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76.20%</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4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$0.3 million</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$0.5 million</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$1.5 million</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 million</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Post-modification</w:t>
            </w:r>
          </w:p>
        </w:tc>
        <w:tc>
          <w:tcPr>
            <w:tcW w:w="11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modification</w:t>
            </w: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October 9,</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October 9,</w:t>
            </w:r>
          </w:p>
        </w:tc>
        <w:tc>
          <w:tcPr>
            <w:tcW w:w="22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5"/>
        </w:trPr>
        <w:tc>
          <w:tcPr>
            <w:tcW w:w="2620" w:type="dxa"/>
            <w:vAlign w:val="bottom"/>
            <w:gridSpan w:val="2"/>
          </w:tcPr>
          <w:p>
            <w:pPr>
              <w:spacing w:after="0"/>
              <w:rPr>
                <w:sz w:val="20"/>
                <w:szCs w:val="20"/>
                <w:color w:val="auto"/>
              </w:rPr>
            </w:pPr>
            <w:r>
              <w:rPr>
                <w:rFonts w:ascii="Arial" w:cs="Arial" w:eastAsia="Arial" w:hAnsi="Arial"/>
                <w:sz w:val="18"/>
                <w:szCs w:val="18"/>
                <w:color w:val="auto"/>
              </w:rPr>
              <w:t>Fiscal Year 13</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22"/>
                <w:szCs w:val="22"/>
                <w:color w:val="auto"/>
              </w:rPr>
            </w:pPr>
          </w:p>
        </w:tc>
        <w:tc>
          <w:tcPr>
            <w:tcW w:w="14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22"/>
                <w:szCs w:val="22"/>
                <w:color w:val="auto"/>
              </w:rPr>
            </w:pPr>
          </w:p>
        </w:tc>
        <w:tc>
          <w:tcPr>
            <w:tcW w:w="148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80.99%</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75.60%</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71.45%</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71.45%</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71.98%</w:t>
            </w:r>
          </w:p>
        </w:tc>
        <w:tc>
          <w:tcPr>
            <w:tcW w:w="1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4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$ 2.2 million</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$ 2.2 million</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$ 3.2 million</w:t>
            </w:r>
          </w:p>
        </w:tc>
        <w:tc>
          <w:tcPr>
            <w:tcW w:w="11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5"/>
              </w:rPr>
              <w:t>$ 2.2 million</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$ 2.5 million</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$ 3.0 million</w:t>
            </w:r>
          </w:p>
        </w:tc>
        <w:tc>
          <w:tcPr>
            <w:tcW w:w="0" w:type="dxa"/>
            <w:vAlign w:val="bottom"/>
          </w:tcPr>
          <w:p>
            <w:pPr>
              <w:spacing w:after="0"/>
              <w:rPr>
                <w:sz w:val="1"/>
                <w:szCs w:val="1"/>
                <w:color w:val="auto"/>
              </w:rPr>
            </w:pPr>
          </w:p>
        </w:tc>
      </w:tr>
      <w:tr>
        <w:trPr>
          <w:trHeight w:val="66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April 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620" w:type="dxa"/>
            <w:vAlign w:val="bottom"/>
            <w:gridSpan w:val="2"/>
          </w:tcPr>
          <w:p>
            <w:pPr>
              <w:spacing w:after="0"/>
              <w:rPr>
                <w:sz w:val="20"/>
                <w:szCs w:val="20"/>
                <w:color w:val="auto"/>
              </w:rPr>
            </w:pPr>
            <w:r>
              <w:rPr>
                <w:rFonts w:ascii="Arial" w:cs="Arial" w:eastAsia="Arial" w:hAnsi="Arial"/>
                <w:sz w:val="18"/>
                <w:szCs w:val="18"/>
                <w:color w:val="auto"/>
              </w:rPr>
              <w:t>Fiscal Year 12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22"/>
                <w:szCs w:val="22"/>
                <w:color w:val="auto"/>
              </w:rPr>
            </w:pPr>
          </w:p>
        </w:tc>
        <w:tc>
          <w:tcPr>
            <w:tcW w:w="14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0.67%</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0.75%</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0.63%</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0.77%</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71.74%</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80.60%</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80.90%</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80.80%</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4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$ 3.4 million</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$ 4.4 million</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$ 7.1 million</w:t>
            </w:r>
          </w:p>
        </w:tc>
        <w:tc>
          <w:tcPr>
            <w:tcW w:w="11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5"/>
              </w:rPr>
              <w:t>$ 8.6 million</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$ 7.0 million</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recorded net gains, resulting from the decrease in the fair value of the Exchanged Warrant, of $1.9 million, $1.2 million and $3.6 million to change in fair value of derivatives and warrants in the years ended March 31, 2015, 2014, and 2013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Convertible Note Derivative Liability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determined certain embedded derivatives issued with the Initial Note required accounting as a liability, which requires they be accounted for as a standalone liability subject to revaluation at each balance sheet date with changes in fair value recorded as change in fair value of derivatives and warrants until the earlier of exercise or expiration.</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terms of the December 2012 Amendment with CVI provided for, among other things, the exchange of the Initial Note for the Exchanged Note and the reduction of the conversion price of the Initial Note from $48.50 per share to $31.90 per share in the Exchanged Note.</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March 2, 2014, the Company entered into an Exchange Agreement with CVI, pursuant to which the Company exchanged the Exchanged Note for approximately 663,000 shares of common stock, in full satisfaction of all amounts owed under the Exchanged Note, including any accrued interest. In addition, the Company extinguished the remaining value for the derivative liability identified with the Exchanged Note and any unamortized debt discount.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584" w:right="23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Following is a summary of the key assumptions used to value the convertible notes derivative features: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2"/>
              </w:rPr>
              <w:t>30,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spacing w:after="0"/>
              <w:rPr>
                <w:sz w:val="20"/>
                <w:szCs w:val="20"/>
                <w:color w:val="auto"/>
              </w:rPr>
            </w:pPr>
            <w:r>
              <w:rPr>
                <w:rFonts w:ascii="Arial" w:cs="Arial" w:eastAsia="Arial" w:hAnsi="Arial"/>
                <w:sz w:val="18"/>
                <w:szCs w:val="18"/>
                <w:color w:val="auto"/>
              </w:rPr>
              <w:t>Fiscal Year 13</w:t>
            </w: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Principal outstanding (000's)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Stock price</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16.40</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Percentage volume condition met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87.20%</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80.20%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Expected volatility</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68.63%</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Risk free rate</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Bond yield</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Recovery rate</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Redeemable</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yes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Total time (years)</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Dilution effect</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yes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Fair value</w:t>
            </w:r>
          </w:p>
        </w:tc>
        <w:tc>
          <w:tcPr>
            <w:tcW w:w="260" w:type="dxa"/>
            <w:vAlign w:val="bottom"/>
            <w:vMerge w:val="restart"/>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$ 0.2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3"/>
            <w:vMerge w:val="restart"/>
            <w:shd w:val="clear" w:color="auto" w:fill="CFF0FC"/>
          </w:tcPr>
          <w:p>
            <w:pPr>
              <w:jc w:val="right"/>
              <w:ind w:right="300"/>
              <w:spacing w:after="0"/>
              <w:rPr>
                <w:sz w:val="20"/>
                <w:szCs w:val="20"/>
                <w:color w:val="auto"/>
              </w:rPr>
            </w:pPr>
            <w:r>
              <w:rPr>
                <w:rFonts w:ascii="Arial" w:cs="Arial" w:eastAsia="Arial" w:hAnsi="Arial"/>
                <w:sz w:val="18"/>
                <w:szCs w:val="18"/>
                <w:color w:val="auto"/>
                <w:w w:val="95"/>
              </w:rPr>
              <w:t>$ 0.5 million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160" w:type="dxa"/>
            <w:vAlign w:val="bottom"/>
            <w:gridSpan w:val="2"/>
            <w:vMerge w:val="continue"/>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million</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3"/>
            <w:vMerge w:val="continue"/>
            <w:shd w:val="clear" w:color="auto" w:fill="CFF0FC"/>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Fair value as a percent of par</w:t>
            </w:r>
          </w:p>
        </w:tc>
        <w:tc>
          <w:tcPr>
            <w:tcW w:w="26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7"/>
        </w:trPr>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Post-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modification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modification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2"/>
              </w:rPr>
              <w:t>December 20,</w:t>
            </w: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8"/>
              </w:rPr>
              <w:t>September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April 4,</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2"/>
              </w:rPr>
              <w:t>20,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spacing w:after="0"/>
              <w:rPr>
                <w:sz w:val="20"/>
                <w:szCs w:val="20"/>
                <w:color w:val="auto"/>
              </w:rPr>
            </w:pPr>
            <w:r>
              <w:rPr>
                <w:rFonts w:ascii="Arial" w:cs="Arial" w:eastAsia="Arial" w:hAnsi="Arial"/>
                <w:sz w:val="18"/>
                <w:szCs w:val="18"/>
                <w:color w:val="auto"/>
              </w:rPr>
              <w:t>Fiscal Year 12</w:t>
            </w: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Principal outstanding (000's)</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15,380</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24,074</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Stock price</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26.20</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29.50</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41.50</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46.80</w:t>
            </w:r>
          </w:p>
        </w:tc>
        <w:tc>
          <w:tcPr>
            <w:tcW w:w="2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Percentage volume condition met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80.50%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94.50%</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94.90%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Expected volatility</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73.50%</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Risk free rate</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Bond yield</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Recovery rate</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Redeemable</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yes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yes</w:t>
            </w: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yes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Total time (years)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Dilution effect</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yes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yes</w:t>
            </w: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yes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5"/>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Fair value</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w w:val="98"/>
              </w:rPr>
              <w:t>0.5 million</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w w:val="99"/>
              </w:rPr>
              <w:t>$ 1.0 million</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3"/>
            <w:vMerge w:val="restart"/>
            <w:shd w:val="clear" w:color="auto" w:fill="CFF0FC"/>
          </w:tcPr>
          <w:p>
            <w:pPr>
              <w:jc w:val="right"/>
              <w:ind w:right="300"/>
              <w:spacing w:after="0"/>
              <w:rPr>
                <w:sz w:val="20"/>
                <w:szCs w:val="20"/>
                <w:color w:val="auto"/>
              </w:rPr>
            </w:pPr>
            <w:r>
              <w:rPr>
                <w:rFonts w:ascii="Arial" w:cs="Arial" w:eastAsia="Arial" w:hAnsi="Arial"/>
                <w:sz w:val="18"/>
                <w:szCs w:val="18"/>
                <w:color w:val="auto"/>
                <w:w w:val="95"/>
              </w:rPr>
              <w:t>$ 0.9 million</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w w:val="96"/>
              </w:rPr>
              <w:t>2.8 million</w:t>
            </w:r>
          </w:p>
        </w:tc>
        <w:tc>
          <w:tcPr>
            <w:tcW w:w="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w w:val="98"/>
              </w:rPr>
              <w:t>4.5 million</w:t>
            </w:r>
          </w:p>
        </w:tc>
        <w:tc>
          <w:tcPr>
            <w:tcW w:w="2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w w:val="98"/>
              </w:rPr>
              <w:t>3.8 million</w:t>
            </w:r>
          </w:p>
        </w:tc>
        <w:tc>
          <w:tcPr>
            <w:tcW w:w="0" w:type="dxa"/>
            <w:vAlign w:val="bottom"/>
          </w:tcPr>
          <w:p>
            <w:pPr>
              <w:spacing w:after="0"/>
              <w:rPr>
                <w:sz w:val="1"/>
                <w:szCs w:val="1"/>
                <w:color w:val="auto"/>
              </w:rPr>
            </w:pPr>
          </w:p>
        </w:tc>
      </w:tr>
      <w:tr>
        <w:trPr>
          <w:trHeight w:val="122"/>
        </w:trPr>
        <w:tc>
          <w:tcPr>
            <w:tcW w:w="2560" w:type="dxa"/>
            <w:vAlign w:val="bottom"/>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million</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gridSpan w:val="3"/>
            <w:vMerge w:val="continue"/>
            <w:shd w:val="clear" w:color="auto" w:fill="CFF0FC"/>
          </w:tcPr>
          <w:p>
            <w:pPr>
              <w:spacing w:after="0"/>
              <w:rPr>
                <w:sz w:val="10"/>
                <w:szCs w:val="10"/>
                <w:color w:val="auto"/>
              </w:rPr>
            </w:pPr>
          </w:p>
        </w:tc>
        <w:tc>
          <w:tcPr>
            <w:tcW w:w="220" w:type="dxa"/>
            <w:vAlign w:val="bottom"/>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80" w:type="dxa"/>
            <w:vAlign w:val="bottom"/>
            <w:gridSpan w:val="2"/>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200" w:type="dxa"/>
            <w:vAlign w:val="bottom"/>
            <w:gridSpan w:val="2"/>
            <w:vMerge w:val="continue"/>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gridSpan w:val="2"/>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Fair value as a percent of par</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11.40%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Based on historical VWAP of the Company’s common stock as well as the historic average dollar trading volume of the Company’s common stock, the percentage volume condition is the probability that the Company will convert monthly installment payments into the Company’s common stock. The expected volatility rate was estimated based on an equal weighting of the historical volatility of the Company’s common stock and the implied volatility of the Company’s traded options. To determine the risk-free interest rate, an interpolated rate was used based on the one, two and three-year United States Treasury rates. The bond yield was estimated using comparable corporate debt and yield information. The recovery rate of the Exchanged Note was estimated by reviewing historical corporate debt that went into default. The bond is redeemable by the Company at any point after the one-year anniversary of the grant date provided certain provisions within the note. The total time is based on the actual 30-month contractual terms. It was determined that there is a dilution effect based on the Company’s ability to make payments in shares of common stock.</w:t>
      </w:r>
    </w:p>
    <w:p>
      <w:pPr>
        <w:spacing w:after="0" w:line="17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recorded net gains, resulting from the decrease in the fair value of the derivative, of $0.5 million and $3.8 million to change in fair value of derivatives and warrants in the year ended March 31, 2014, and 2013,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20"/>
          </w:cols>
          <w:pgMar w:left="240" w:top="584" w:right="23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i w:val="1"/>
          <w:iCs w:val="1"/>
          <w:color w:val="auto"/>
        </w:rPr>
        <w:t>Senior Secured Term Loan – First Warrant</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June 5, 2012, the Company entered into the Loan and Security Agreement with Hercules. (See Note 9, “Debt,” for additional information regarding the Loan and Security Agreement.) In conjunction with this agreement, the Company issued the First Warrant to purchase 13,927 shares of the Company’s common stock. The First Warrant was exercisable at any time after its issuance and had an expiration date of December 5, 2017, at a price equal to $35.90 per share subject to certain price-based and other anti-dilution adjustments. The exercise price was reduced to $19.50 per share in conjunction with entering into the New Term Loan B. An anti-dilution adjustment due to the sale of 909,090 units of the Company’s common stock to Hudson Bay Capital resulted in a reduction of the exercise price to $17.00 per share, on November 13, 2014. The Hercules Second Amendment resulted in the cancellation of the First Warrant on December 19, 2014.</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had accounted for the First Warrant as a liability due to certain provisions within the warrant, which required that it be recorded at fair value. The First Warrant was subject to revaluation at each balance sheet date and any change in fair value was recorded as a change in fair value of derivatives and warrants until the warrant was cancelled on December 19, 2014.</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First Warrant: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Pre-Exchange</w:t>
            </w: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Fiscal Year 14</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19,</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15"/>
        </w:trPr>
        <w:tc>
          <w:tcPr>
            <w:tcW w:w="2780" w:type="dxa"/>
            <w:vAlign w:val="bottom"/>
            <w:gridSpan w:val="2"/>
            <w:vMerge w:val="continue"/>
          </w:tcPr>
          <w:p>
            <w:pPr>
              <w:spacing w:after="0"/>
              <w:rPr>
                <w:sz w:val="18"/>
                <w:szCs w:val="18"/>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8"/>
                <w:szCs w:val="18"/>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8"/>
                <w:szCs w:val="18"/>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67.01%</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78.30%</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Term (years)</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2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$ 0.1 million</w:t>
            </w:r>
          </w:p>
        </w:tc>
        <w:tc>
          <w:tcPr>
            <w:tcW w:w="15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$ 0.1 million</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$ 0.1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Fiscal Year 13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Expected annual dividend yield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Post-modification</w:t>
            </w: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Pre-modification</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November 15,</w:t>
            </w: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November 15,</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September 30,</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30"/>
        </w:trPr>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9"/>
                <w:szCs w:val="19"/>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Pr>
          <w:p>
            <w:pPr>
              <w:spacing w:after="0"/>
              <w:rPr>
                <w:sz w:val="19"/>
                <w:szCs w:val="19"/>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9"/>
                <w:szCs w:val="19"/>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80.73%</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74.79%</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72.64%</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72.64%</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72.10%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$ 0.1</w:t>
            </w:r>
          </w:p>
        </w:tc>
        <w:tc>
          <w:tcPr>
            <w:tcW w:w="280" w:type="dxa"/>
            <w:vAlign w:val="bottom"/>
          </w:tcPr>
          <w:p>
            <w:pPr>
              <w:spacing w:after="0"/>
              <w:rPr>
                <w:sz w:val="18"/>
                <w:szCs w:val="18"/>
                <w:color w:val="auto"/>
              </w:rPr>
            </w:pP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$ 0.1 million</w:t>
            </w: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$ 0.1 million</w:t>
            </w: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$ 0.1 million</w:t>
            </w:r>
          </w:p>
        </w:tc>
        <w:tc>
          <w:tcPr>
            <w:tcW w:w="14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$ 0.2 million</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$ 0.2 million</w:t>
            </w:r>
          </w:p>
        </w:tc>
        <w:tc>
          <w:tcPr>
            <w:tcW w:w="0" w:type="dxa"/>
            <w:vAlign w:val="bottom"/>
          </w:tcPr>
          <w:p>
            <w:pPr>
              <w:spacing w:after="0"/>
              <w:rPr>
                <w:sz w:val="1"/>
                <w:szCs w:val="1"/>
                <w:color w:val="auto"/>
              </w:rPr>
            </w:pPr>
          </w:p>
        </w:tc>
      </w:tr>
      <w:tr>
        <w:trPr>
          <w:trHeight w:val="122"/>
        </w:trPr>
        <w:tc>
          <w:tcPr>
            <w:tcW w:w="12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million</w:t>
            </w:r>
          </w:p>
        </w:tc>
        <w:tc>
          <w:tcPr>
            <w:tcW w:w="154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-865505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-574040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-282575</wp:posOffset>
            </wp:positionV>
            <wp:extent cx="724662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500"/>
            <w:col w:w="8640"/>
          </w:cols>
          <w:pgMar w:left="240" w:top="6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Fiscal Year 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Expected annual dividend yield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5,</w:t>
            </w:r>
          </w:p>
        </w:tc>
        <w:tc>
          <w:tcPr>
            <w:tcW w:w="0" w:type="dxa"/>
            <w:vAlign w:val="bottom"/>
          </w:tcPr>
          <w:p>
            <w:pPr>
              <w:spacing w:after="0"/>
              <w:rPr>
                <w:sz w:val="1"/>
                <w:szCs w:val="1"/>
                <w:color w:val="auto"/>
              </w:rPr>
            </w:pPr>
          </w:p>
        </w:tc>
      </w:tr>
      <w:tr>
        <w:trPr>
          <w:trHeight w:val="230"/>
        </w:trPr>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9"/>
                <w:szCs w:val="19"/>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9"/>
                <w:szCs w:val="19"/>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9"/>
                <w:szCs w:val="19"/>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9"/>
                <w:szCs w:val="19"/>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0.75%</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0.64%</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30"/>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72.01%</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80.14%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81.18%</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80.32%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5.44</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$ 0.2</w:t>
            </w:r>
          </w:p>
        </w:tc>
        <w:tc>
          <w:tcPr>
            <w:tcW w:w="280" w:type="dxa"/>
            <w:vAlign w:val="bottom"/>
          </w:tcPr>
          <w:p>
            <w:pPr>
              <w:spacing w:after="0"/>
              <w:rPr>
                <w:sz w:val="18"/>
                <w:szCs w:val="18"/>
                <w:color w:val="auto"/>
              </w:rPr>
            </w:pP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$ 0.2 million</w:t>
            </w: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$ 0.4 million</w:t>
            </w:r>
          </w:p>
        </w:tc>
        <w:tc>
          <w:tcPr>
            <w:tcW w:w="15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$ 0.5 million</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$ 0.4 million</w:t>
            </w:r>
          </w:p>
        </w:tc>
        <w:tc>
          <w:tcPr>
            <w:tcW w:w="0" w:type="dxa"/>
            <w:vAlign w:val="bottom"/>
          </w:tcPr>
          <w:p>
            <w:pPr>
              <w:spacing w:after="0"/>
              <w:rPr>
                <w:sz w:val="1"/>
                <w:szCs w:val="1"/>
                <w:color w:val="auto"/>
              </w:rPr>
            </w:pPr>
          </w:p>
        </w:tc>
      </w:tr>
      <w:tr>
        <w:trPr>
          <w:trHeight w:val="122"/>
        </w:trPr>
        <w:tc>
          <w:tcPr>
            <w:tcW w:w="12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million</w:t>
            </w:r>
          </w:p>
        </w:tc>
        <w:tc>
          <w:tcPr>
            <w:tcW w:w="1540" w:type="dxa"/>
            <w:vAlign w:val="bottom"/>
            <w:gridSpan w:val="2"/>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-865505</wp:posOffset>
            </wp:positionV>
            <wp:extent cx="62344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4430" cy="1460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-574040</wp:posOffset>
            </wp:positionV>
            <wp:extent cx="623443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34430" cy="14605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-282575</wp:posOffset>
            </wp:positionV>
            <wp:extent cx="623443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3443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500"/>
            <w:col w:w="8640"/>
          </w:cols>
          <w:pgMar w:left="240" w:top="692" w:right="239" w:bottom="1440" w:gutter="0" w:footer="0" w:header="0"/>
          <w:type w:val="continuous"/>
        </w:sectPr>
      </w:pPr>
    </w:p>
    <w:p>
      <w:pPr>
        <w:spacing w:after="0" w:line="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recorded net gains, resulting from the decrease in fair value of the First Warrant, of $0.1 million, $0.1 million and $0.2 million to change in fair value of derivatives and warrants during the years ended March 31, 2015, 2014, and 2013, respectively.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692" w:right="239" w:bottom="1440" w:gutter="0" w:footer="0" w:header="0"/>
          <w:type w:val="continuous"/>
        </w:sectPr>
      </w:pPr>
    </w:p>
    <w:bookmarkStart w:id="78" w:name="page79"/>
    <w:bookmarkEnd w:id="78"/>
    <w:p>
      <w:pPr>
        <w:ind w:left="520"/>
        <w:spacing w:after="0"/>
        <w:rPr>
          <w:sz w:val="20"/>
          <w:szCs w:val="20"/>
          <w:color w:val="auto"/>
        </w:rPr>
      </w:pPr>
      <w:r>
        <w:rPr>
          <w:rFonts w:ascii="Arial" w:cs="Arial" w:eastAsia="Arial" w:hAnsi="Arial"/>
          <w:sz w:val="18"/>
          <w:szCs w:val="18"/>
          <w:i w:val="1"/>
          <w:iCs w:val="1"/>
          <w:color w:val="auto"/>
        </w:rPr>
        <w:t>Senior Secured Term Loan – Second Warrant</w:t>
      </w:r>
    </w:p>
    <w:p>
      <w:pPr>
        <w:spacing w:after="0" w:line="117" w:lineRule="exact"/>
        <w:rPr>
          <w:sz w:val="20"/>
          <w:szCs w:val="20"/>
          <w:color w:val="auto"/>
        </w:rPr>
      </w:pPr>
    </w:p>
    <w:p>
      <w:pPr>
        <w:jc w:val="both"/>
        <w:ind w:right="80" w:firstLine="518"/>
        <w:spacing w:after="0" w:line="273" w:lineRule="auto"/>
        <w:rPr>
          <w:sz w:val="20"/>
          <w:szCs w:val="20"/>
          <w:color w:val="auto"/>
        </w:rPr>
      </w:pPr>
      <w:r>
        <w:rPr>
          <w:rFonts w:ascii="Arial" w:cs="Arial" w:eastAsia="Arial" w:hAnsi="Arial"/>
          <w:sz w:val="17"/>
          <w:szCs w:val="17"/>
          <w:color w:val="auto"/>
        </w:rPr>
        <w:t>On November 15, 2013, the Company amended the Loan and Security Agreement with Hercules and entered into the New Term Loan B. (See Note 9, “Debt,” for additional information regarding the New Term Loan B.) In conjunction with this agreement, the Company issued the Second Warrant to purchase 25,641 shares of the Company’s common stock. The Second Warrant was exercisable at any time after its issuance at a price equal to $19.50 per share subject to certain price-based and other anti-dilution adjustments and had an expiration date of May 15, 2019. An anti-dilution adjustment due to the sale of 909,090 units of the Company’s common stock to Hudson Bay Capital resulted in a reduction of the exercise price to $17.00 per share on November 13, 2014. The Hercules Second Amendment resulted in the cancellation of the Second Warrant on December 19, 2014.</w:t>
      </w:r>
    </w:p>
    <w:p>
      <w:pPr>
        <w:spacing w:after="0" w:line="178"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Company had accounted for the Second Warrant as a liability due to certain provisions within the warrant, which required that it be recorded at fair value. The Second Warrant was subject to revaluation at each balance sheet date and any change in fair value was recorded as a change in fair value of derivatives and warrants until the warrant was cancelled on December 19, 2014.</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Second Warrant: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Pre-Exchange</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19,</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5"/>
        </w:trPr>
        <w:tc>
          <w:tcPr>
            <w:tcW w:w="4580" w:type="dxa"/>
            <w:vAlign w:val="bottom"/>
            <w:gridSpan w:val="2"/>
          </w:tcPr>
          <w:p>
            <w:pPr>
              <w:spacing w:after="0"/>
              <w:rPr>
                <w:sz w:val="20"/>
                <w:szCs w:val="20"/>
                <w:color w:val="auto"/>
              </w:rPr>
            </w:pPr>
            <w:r>
              <w:rPr>
                <w:rFonts w:ascii="Arial" w:cs="Arial" w:eastAsia="Arial" w:hAnsi="Arial"/>
                <w:sz w:val="18"/>
                <w:szCs w:val="18"/>
                <w:color w:val="auto"/>
              </w:rPr>
              <w:t>Fiscal Year 14</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22"/>
                <w:szCs w:val="22"/>
                <w:color w:val="auto"/>
              </w:rPr>
            </w:pPr>
          </w:p>
        </w:tc>
        <w:tc>
          <w:tcPr>
            <w:tcW w:w="136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1.65%</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w:t>
            </w:r>
          </w:p>
        </w:tc>
        <w:tc>
          <w:tcPr>
            <w:tcW w:w="15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71.82%</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78.10%</w:t>
            </w:r>
          </w:p>
        </w:tc>
        <w:tc>
          <w:tcPr>
            <w:tcW w:w="15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Term (years)</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4.41</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$0.1 million</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$ 0.2 million</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$ 0.3 million</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New Issuance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November 15,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580" w:type="dxa"/>
            <w:vAlign w:val="bottom"/>
            <w:gridSpan w:val="2"/>
          </w:tcPr>
          <w:p>
            <w:pPr>
              <w:spacing w:after="0"/>
              <w:rPr>
                <w:sz w:val="20"/>
                <w:szCs w:val="20"/>
                <w:color w:val="auto"/>
              </w:rPr>
            </w:pPr>
            <w:r>
              <w:rPr>
                <w:rFonts w:ascii="Arial" w:cs="Arial" w:eastAsia="Arial" w:hAnsi="Arial"/>
                <w:sz w:val="18"/>
                <w:szCs w:val="18"/>
                <w:color w:val="auto"/>
              </w:rPr>
              <w:t>Fiscal Year 13</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1.76%</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79.73%</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80.37%</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76.97%</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Term (years)</w:t>
            </w:r>
          </w:p>
        </w:tc>
        <w:tc>
          <w:tcPr>
            <w:tcW w:w="1400" w:type="dxa"/>
            <w:vAlign w:val="bottom"/>
          </w:tcPr>
          <w:p>
            <w:pPr>
              <w:jc w:val="right"/>
              <w:spacing w:after="0"/>
              <w:rPr>
                <w:sz w:val="20"/>
                <w:szCs w:val="20"/>
                <w:color w:val="auto"/>
              </w:rPr>
            </w:pPr>
            <w:r>
              <w:rPr>
                <w:rFonts w:ascii="Arial" w:cs="Arial" w:eastAsia="Arial" w:hAnsi="Arial"/>
                <w:sz w:val="18"/>
                <w:szCs w:val="18"/>
                <w:color w:val="auto"/>
              </w:rPr>
              <w:t>5.12</w:t>
            </w: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5.37</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$ 0.3 million</w:t>
            </w: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$ 0.3 million</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$ 0.3 million</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Company recorded a net gain, resulting from the decrease in fair value of the Second Warrant, of $0.3 million in the year ended March 31, 2015 and no change in the year ended March 31, 2014.</w:t>
      </w:r>
    </w:p>
    <w:p>
      <w:pPr>
        <w:spacing w:after="0" w:line="170"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The Company prepared its estimates for the assumptions used to determine the fair value of the warrants issued in conjunction with both the Exchanged Note and Term Loans utilizing the respective terms of the warrants with similar inputs, as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 - New Warrant</w:t>
      </w:r>
    </w:p>
    <w:p>
      <w:pPr>
        <w:spacing w:after="0" w:line="117"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On December 19, 2014, the Company entered into the Hercules Second Amendment and entered into the New Term Loan C. (See Note 9, “Debt” for additional information regarding the New Term Loan C). In conjunction with the agreement, the Company cancelled the First and Second Warrants, and reissued a Warrant to purchase 58,823 shares of the Company’s common stock. The Warrant is exercisable at any time after its issuance at a price of $11.00 per share, subject to certain price-based and other anti-dilution adjustments, and expires on June 30, 2020.</w:t>
      </w:r>
    </w:p>
    <w:p>
      <w:pPr>
        <w:spacing w:after="0" w:line="17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Company accounts for the Warrant as a liability due to certain provisions within the Warrant, which requires that it be recorded at fair value. The Warrant is subject to revaluation at each balance sheet date and any change in fair value will be recorded as a change in fair value of derivatives and warrants until the earlier of its expiration or its exercise, at which time the warrant liability will be reclassified to equity.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Warrant:</w:t>
      </w: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500"/>
          </w:cols>
          <w:pgMar w:left="240" w:top="692" w:right="1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New Issuance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March 31,</w:t>
            </w:r>
          </w:p>
        </w:tc>
        <w:tc>
          <w:tcPr>
            <w:tcW w:w="20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19,</w:t>
            </w:r>
          </w:p>
        </w:tc>
        <w:tc>
          <w:tcPr>
            <w:tcW w:w="0" w:type="dxa"/>
            <w:vAlign w:val="bottom"/>
          </w:tcPr>
          <w:p>
            <w:pPr>
              <w:spacing w:after="0"/>
              <w:rPr>
                <w:sz w:val="1"/>
                <w:szCs w:val="1"/>
                <w:color w:val="auto"/>
              </w:rPr>
            </w:pPr>
          </w:p>
        </w:tc>
      </w:tr>
      <w:tr>
        <w:trPr>
          <w:trHeight w:val="255"/>
        </w:trPr>
        <w:tc>
          <w:tcPr>
            <w:tcW w:w="5540" w:type="dxa"/>
            <w:vAlign w:val="bottom"/>
            <w:gridSpan w:val="2"/>
          </w:tcPr>
          <w:p>
            <w:pPr>
              <w:spacing w:after="0"/>
              <w:rPr>
                <w:sz w:val="20"/>
                <w:szCs w:val="20"/>
                <w:color w:val="auto"/>
              </w:rPr>
            </w:pPr>
            <w:r>
              <w:rPr>
                <w:rFonts w:ascii="Arial" w:cs="Arial" w:eastAsia="Arial" w:hAnsi="Arial"/>
                <w:sz w:val="18"/>
                <w:szCs w:val="18"/>
                <w:color w:val="auto"/>
              </w:rPr>
              <w:t>Fiscal Year 14</w:t>
            </w:r>
          </w:p>
        </w:tc>
        <w:tc>
          <w:tcPr>
            <w:tcW w:w="17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2"/>
                <w:szCs w:val="22"/>
                <w:color w:val="auto"/>
              </w:rPr>
            </w:pPr>
          </w:p>
        </w:tc>
        <w:tc>
          <w:tcPr>
            <w:tcW w:w="16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1.41%</w:t>
            </w:r>
          </w:p>
        </w:tc>
        <w:tc>
          <w:tcPr>
            <w:tcW w:w="2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1.73%</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2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74.60%</w:t>
            </w:r>
          </w:p>
        </w:tc>
        <w:tc>
          <w:tcPr>
            <w:tcW w:w="2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77.43%</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Term (years)</w:t>
            </w:r>
          </w:p>
        </w:tc>
        <w:tc>
          <w:tcPr>
            <w:tcW w:w="1740" w:type="dxa"/>
            <w:vAlign w:val="bottom"/>
          </w:tcPr>
          <w:p>
            <w:pPr>
              <w:jc w:val="right"/>
              <w:spacing w:after="0"/>
              <w:rPr>
                <w:sz w:val="20"/>
                <w:szCs w:val="20"/>
                <w:color w:val="auto"/>
              </w:rPr>
            </w:pPr>
            <w:r>
              <w:rPr>
                <w:rFonts w:ascii="Arial" w:cs="Arial" w:eastAsia="Arial" w:hAnsi="Arial"/>
                <w:sz w:val="18"/>
                <w:szCs w:val="18"/>
                <w:color w:val="auto"/>
              </w:rPr>
              <w:t>5.25</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224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$0.2 million</w:t>
            </w:r>
          </w:p>
        </w:tc>
        <w:tc>
          <w:tcPr>
            <w:tcW w:w="20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$0.2 million</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no significant change in the fair value of the Warrant in the year ended March 31, 2015.</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November 2014 Warrant</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November 13, 2014, the Company completed an offering of 909,090 units of the Company’s common stock (adjusted to reflect our 1-for-10 reverse stock split effected on March 24, 2015) with Hudson Bay Capital. (See Note 12, “Stockholder’s Equity”, for further information). Each unit consisted of one share of the Company’s common stock and 0.90 of a warrant to purchase one share of common stock, or a warrant to purchase in the aggregate 818,181 shares (the “November 2014 Warrant”). The November 2014 Warrant is exercisable at any time, at a price equal to $11.00 per share and expires on November 13, 2019.</w:t>
      </w:r>
    </w:p>
    <w:p>
      <w:pPr>
        <w:spacing w:after="0" w:line="18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accounts for the November 2014 Warrant as a liability due to certain provisions within the warrant, which requires that it be recorded at fair value. The November 2014 Warrant is subject to revaluation at each balance sheet date and any change in fair value will be recorded as a change in fair value of derivatives and warrants until the earlier of its expiration or its exercise, at which time the warrant liability will be reclassified to equity.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summary of the key assumptions used to calculate the fair value of the November 2014 Warrant: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New Issuance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March 31,</w:t>
            </w:r>
          </w:p>
        </w:tc>
        <w:tc>
          <w:tcPr>
            <w:tcW w:w="21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November 13,</w:t>
            </w:r>
          </w:p>
        </w:tc>
        <w:tc>
          <w:tcPr>
            <w:tcW w:w="0" w:type="dxa"/>
            <w:vAlign w:val="bottom"/>
          </w:tcPr>
          <w:p>
            <w:pPr>
              <w:spacing w:after="0"/>
              <w:rPr>
                <w:sz w:val="1"/>
                <w:szCs w:val="1"/>
                <w:color w:val="auto"/>
              </w:rPr>
            </w:pPr>
          </w:p>
        </w:tc>
      </w:tr>
      <w:tr>
        <w:trPr>
          <w:trHeight w:val="255"/>
        </w:trPr>
        <w:tc>
          <w:tcPr>
            <w:tcW w:w="5540" w:type="dxa"/>
            <w:vAlign w:val="bottom"/>
            <w:gridSpan w:val="2"/>
          </w:tcPr>
          <w:p>
            <w:pPr>
              <w:spacing w:after="0"/>
              <w:rPr>
                <w:sz w:val="20"/>
                <w:szCs w:val="20"/>
                <w:color w:val="auto"/>
              </w:rPr>
            </w:pPr>
            <w:r>
              <w:rPr>
                <w:rFonts w:ascii="Arial" w:cs="Arial" w:eastAsia="Arial" w:hAnsi="Arial"/>
                <w:sz w:val="18"/>
                <w:szCs w:val="18"/>
                <w:color w:val="auto"/>
              </w:rPr>
              <w:t>Fiscal Year 14</w:t>
            </w:r>
          </w:p>
        </w:tc>
        <w:tc>
          <w:tcPr>
            <w:tcW w:w="15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22"/>
                <w:szCs w:val="22"/>
                <w:color w:val="auto"/>
              </w:rPr>
            </w:pPr>
          </w:p>
        </w:tc>
        <w:tc>
          <w:tcPr>
            <w:tcW w:w="16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2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1.28%</w:t>
            </w:r>
          </w:p>
        </w:tc>
        <w:tc>
          <w:tcPr>
            <w:tcW w:w="2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1.61%</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2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75.96%</w:t>
            </w:r>
          </w:p>
        </w:tc>
        <w:tc>
          <w:tcPr>
            <w:tcW w:w="21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78.00%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Term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4.62</w:t>
            </w:r>
          </w:p>
        </w:tc>
        <w:tc>
          <w:tcPr>
            <w:tcW w:w="6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4.87</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Fair value</w:t>
            </w:r>
          </w:p>
        </w:tc>
        <w:tc>
          <w:tcPr>
            <w:tcW w:w="220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$2.5 million</w:t>
            </w:r>
          </w:p>
        </w:tc>
        <w:tc>
          <w:tcPr>
            <w:tcW w:w="21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$3.2 million</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recorded a decrease in the fair value of the November 2014 Warrant, resulting in a gain of $1.8 million in the year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Income (loss) before income taxes for the years ended March 31, 2015, 2014, and 2013 are provided in the table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For the years ended March 31,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vMerge w:val="restart"/>
          </w:tcPr>
          <w:p>
            <w:pPr>
              <w:spacing w:after="0"/>
              <w:rPr>
                <w:sz w:val="20"/>
                <w:szCs w:val="20"/>
                <w:color w:val="auto"/>
              </w:rPr>
            </w:pPr>
            <w:r>
              <w:rPr>
                <w:rFonts w:ascii="Arial" w:cs="Arial" w:eastAsia="Arial" w:hAnsi="Arial"/>
                <w:sz w:val="18"/>
                <w:szCs w:val="18"/>
                <w:color w:val="auto"/>
              </w:rPr>
              <w:t>Income (loss) before income tax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(40,277)</w:t>
            </w:r>
          </w:p>
        </w:tc>
        <w:tc>
          <w:tcPr>
            <w:tcW w:w="6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(91,558)</w:t>
            </w:r>
          </w:p>
        </w:tc>
        <w:tc>
          <w:tcPr>
            <w:tcW w:w="5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(66,975)</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(8,563)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36,152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(48,840)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414" w:right="23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color w:val="auto"/>
        </w:rPr>
        <w:t>The components of income tax expense (benefit) attributable to continuing operations consist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6"/>
          </w:tcPr>
          <w:p>
            <w:pPr>
              <w:ind w:left="160"/>
              <w:spacing w:after="0"/>
              <w:rPr>
                <w:sz w:val="20"/>
                <w:szCs w:val="20"/>
                <w:color w:val="auto"/>
              </w:rPr>
            </w:pPr>
            <w:r>
              <w:rPr>
                <w:rFonts w:ascii="Arial" w:cs="Arial" w:eastAsia="Arial" w:hAnsi="Arial"/>
                <w:sz w:val="14"/>
                <w:szCs w:val="14"/>
                <w:b w:val="1"/>
                <w:bCs w:val="1"/>
                <w:color w:val="auto"/>
              </w:rPr>
              <w:t>For the years ended March 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Current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3"/>
            <w:vMerge w:val="continue"/>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w:t>
            </w:r>
          </w:p>
        </w:tc>
        <w:tc>
          <w:tcPr>
            <w:tcW w:w="9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5800" w:type="dxa"/>
            <w:vAlign w:val="bottom"/>
            <w:gridSpan w:val="3"/>
          </w:tcPr>
          <w:p>
            <w:pPr>
              <w:spacing w:after="0"/>
              <w:rPr>
                <w:sz w:val="20"/>
                <w:szCs w:val="20"/>
                <w:color w:val="auto"/>
              </w:rPr>
            </w:pPr>
            <w:r>
              <w:rPr>
                <w:rFonts w:ascii="Arial" w:cs="Arial" w:eastAsia="Arial" w:hAnsi="Arial"/>
                <w:sz w:val="18"/>
                <w:szCs w:val="18"/>
                <w:color w:val="auto"/>
              </w:rPr>
              <w:t>Total current</w:t>
            </w: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800" w:type="dxa"/>
            <w:vAlign w:val="bottom"/>
            <w:gridSpan w:val="3"/>
          </w:tcPr>
          <w:p>
            <w:pPr>
              <w:spacing w:after="0"/>
              <w:rPr>
                <w:sz w:val="20"/>
                <w:szCs w:val="20"/>
                <w:color w:val="auto"/>
              </w:rPr>
            </w:pPr>
            <w:r>
              <w:rPr>
                <w:rFonts w:ascii="Arial" w:cs="Arial" w:eastAsia="Arial" w:hAnsi="Arial"/>
                <w:sz w:val="18"/>
                <w:szCs w:val="18"/>
                <w:color w:val="auto"/>
              </w:rPr>
              <w:t>Total deferred</w:t>
            </w: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(184)</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660" w:type="dxa"/>
            <w:vAlign w:val="bottom"/>
            <w:gridSpan w:val="12"/>
          </w:tcPr>
          <w:p>
            <w:pPr>
              <w:ind w:left="500"/>
              <w:spacing w:after="0"/>
              <w:rPr>
                <w:sz w:val="20"/>
                <w:szCs w:val="20"/>
                <w:color w:val="auto"/>
              </w:rPr>
            </w:pPr>
            <w:r>
              <w:rPr>
                <w:rFonts w:ascii="Arial" w:cs="Arial" w:eastAsia="Arial" w:hAnsi="Arial"/>
                <w:sz w:val="18"/>
                <w:szCs w:val="18"/>
                <w:color w:val="auto"/>
                <w:w w:val="91"/>
              </w:rPr>
              <w:t>The reconciliation between the statutory federal income tax rate and the Company’s effective income tax rate is shown below.</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8"/>
          </w:tcPr>
          <w:p>
            <w:pPr>
              <w:ind w:left="340"/>
              <w:spacing w:after="0"/>
              <w:rPr>
                <w:sz w:val="20"/>
                <w:szCs w:val="20"/>
                <w:color w:val="auto"/>
              </w:rPr>
            </w:pPr>
            <w:r>
              <w:rPr>
                <w:rFonts w:ascii="Arial" w:cs="Arial" w:eastAsia="Arial" w:hAnsi="Arial"/>
                <w:sz w:val="14"/>
                <w:szCs w:val="14"/>
                <w:b w:val="1"/>
                <w:bCs w:val="1"/>
                <w:color w:val="auto"/>
              </w:rPr>
              <w:t>For the years ended 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Statutory federal income tax rate</w:t>
            </w: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(34)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(34)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income taxes, net of federal benefit</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Deemed dividend</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income tax rate differential</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Research and development tax credit</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Warrants</w:t>
            </w:r>
          </w:p>
        </w:tc>
        <w:tc>
          <w:tcPr>
            <w:tcW w:w="9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9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Extinguishment of debt</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Reversal of uncertain tax benefits</w:t>
            </w:r>
          </w:p>
        </w:tc>
        <w:tc>
          <w:tcPr>
            <w:tcW w:w="900" w:type="dxa"/>
            <w:vAlign w:val="bottom"/>
          </w:tcPr>
          <w:p>
            <w:pPr>
              <w:spacing w:after="0"/>
              <w:rPr>
                <w:sz w:val="19"/>
                <w:szCs w:val="19"/>
                <w:color w:val="auto"/>
              </w:rPr>
            </w:pPr>
          </w:p>
        </w:tc>
        <w:tc>
          <w:tcPr>
            <w:tcW w:w="620" w:type="dxa"/>
            <w:vAlign w:val="bottom"/>
            <w:gridSpan w:val="2"/>
          </w:tcPr>
          <w:p>
            <w:pPr>
              <w:jc w:val="right"/>
              <w:ind w:right="1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420"/>
          </w:cols>
          <w:pgMar w:left="240" w:top="584" w:right="23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color w:val="auto"/>
        </w:rPr>
        <w:t>The following is a summary of the principal components of the Company’s deferred tax assets and liabilities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For the years ended March 31,</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jc w:val="right"/>
              <w:ind w:right="7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440" w:type="dxa"/>
            <w:vAlign w:val="bottom"/>
            <w:gridSpan w:val="2"/>
            <w:shd w:val="clear" w:color="auto" w:fill="CFF0FC"/>
          </w:tcPr>
          <w:p>
            <w:pPr>
              <w:jc w:val="right"/>
              <w:ind w:right="10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272,498</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Research and development and other tax credit carryforwards</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10,655</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Accruals and reserves</w:t>
            </w:r>
          </w:p>
        </w:tc>
        <w:tc>
          <w:tcPr>
            <w:tcW w:w="1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37,153</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Fixed assets and intangible assets</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2,432</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18,514</w:t>
            </w:r>
          </w:p>
        </w:tc>
        <w:tc>
          <w:tcPr>
            <w:tcW w:w="4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341,252</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(294,860)</w:t>
            </w:r>
          </w:p>
        </w:tc>
        <w:tc>
          <w:tcPr>
            <w:tcW w:w="7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(282,824)</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2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46,392</w:t>
            </w:r>
          </w:p>
        </w:tc>
        <w:tc>
          <w:tcPr>
            <w:tcW w:w="4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Intercompany debt</w:t>
            </w:r>
          </w:p>
        </w:tc>
        <w:tc>
          <w:tcPr>
            <w:tcW w:w="1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(36,298)</w:t>
            </w:r>
          </w:p>
        </w:tc>
        <w:tc>
          <w:tcPr>
            <w:tcW w:w="7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(10,174)</w:t>
            </w:r>
          </w:p>
        </w:tc>
        <w:tc>
          <w:tcPr>
            <w:tcW w:w="7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2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(46,472)</w:t>
            </w:r>
          </w:p>
        </w:tc>
        <w:tc>
          <w:tcPr>
            <w:tcW w:w="4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1260" w:type="dxa"/>
            <w:vAlign w:val="bottom"/>
          </w:tcPr>
          <w:p>
            <w:pPr>
              <w:spacing w:after="0"/>
              <w:rPr>
                <w:sz w:val="22"/>
                <w:szCs w:val="22"/>
                <w:color w:val="auto"/>
              </w:rPr>
            </w:pPr>
          </w:p>
        </w:tc>
        <w:tc>
          <w:tcPr>
            <w:tcW w:w="1180" w:type="dxa"/>
            <w:vAlign w:val="bottom"/>
            <w:tcBorders>
              <w:bottom w:val="single" w:sz="8" w:color="auto"/>
            </w:tcBorders>
          </w:tcPr>
          <w:p>
            <w:pPr>
              <w:jc w:val="right"/>
              <w:ind w:right="10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has provided a full valuation allowance against its net deferred income tax assets since it is more likely than not that its deferred tax assets are not currently realizable due to the net operating losses incurred by the Company since its inception and net operating losses forecasted in the future. The Company has recorded a deferred tax asset of approximately $13.2 million reflecting the benefit of deductions from the exercise of stock options. This deferred tax asset has been fully reserved since it is more likely than not that the tax benefit from the exercise of stock options will not be realized. The tax benefit will be recorded as a credit to additional paid-in capital if realized.</w:t>
      </w:r>
    </w:p>
    <w:p>
      <w:pPr>
        <w:spacing w:after="0" w:line="18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At March 31, 2015, the Company had aggregate net operating loss carryforwards in the U.S. for federal and state income tax purposes of approximately $760.4 million and $185.5 million, respectively, which expire in the years ending March 31, 2016 through 2035. Included in the U.S. net operating loss is $3.7 million of acquired losses from Power Quality Systems, Inc. and $52.4 million from excess tax deductions from stock options exercised in the years ending March 31, 2006 through 2015. Pursuant to the guidance on accounting for stock-based compensation, the deferred tax asset relating to excess tax benefits from these exercises was not recognized for financial statement purposes. The future benefit from these deductions will be recorded as a credit to additional paid-in capital when realized. Research and development and other tax credit carryforwards amounting to approximately $8.2 million and $3.0 million are available to offset federal and state income taxes, respectively, and will expire in the years ending March 31, 2016 through 2035.</w:t>
      </w:r>
    </w:p>
    <w:p>
      <w:pPr>
        <w:spacing w:after="0" w:line="16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At March 31, 2015, the Company had aggregate net operating loss carryforwards for its Austrian subsidiary, AMSC Austria GmbH, of approximately $51.5 million which can be carried forward indefinitely subject to certain annual limitations. At March 31, 2015, the Company had aggregate net operating loss carryforwards for its Chinese operation of approximately $28.6 million, which expire in the years ending March 31, 2017 and 2020. At March 31, 2015, the Company had aggregate net operating loss carryforwards from Romania of $3.0 million, which can be carried forward through March 31, 2022. Also the Company had immaterial amounts of current and net operating loss carryforwards for its other foreign operations which can be carried forward indefinitely.</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Section 382 of the U.S. Internal Revenue Code of 1986, as amended (the “IRC”), provides limits on the extent to which a corporation that has undergone an ownership change (as defined) can utilize any NOL and general business tax credit carryforwards it may have. The Company is currently conducting a study as a result of the April 2015 equity offering (See Note 19, “Subsequent Events”) to determine whether Section 382 could limit the use of its carryforwards in this manner. The Company does not anticipate that any potential limitation will have a material impact on its ability to utilize its net operating loss carryforwards. If there were material ownership changes subsequent to the study it could limit the ability to utilize its net operating loss carryforwards.</w:t>
      </w:r>
    </w:p>
    <w:p>
      <w:pPr>
        <w:spacing w:after="0" w:line="19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has not recorded a deferred tax asset for the temporary difference associated with the excess of its tax basis over the book basis in its Austrian subsidiary as the future tax benefit is not expected to reverse in the foreseeable future.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20"/>
          </w:cols>
          <w:pgMar w:left="240" w:top="368" w:right="239" w:bottom="1440" w:gutter="0" w:footer="0" w:header="0"/>
        </w:sectPr>
      </w:pPr>
    </w:p>
    <w:bookmarkStart w:id="82" w:name="page83"/>
    <w:bookmarkEnd w:id="82"/>
    <w:p>
      <w:pPr>
        <w:jc w:val="both"/>
        <w:ind w:firstLine="518"/>
        <w:spacing w:after="0" w:line="264" w:lineRule="auto"/>
        <w:rPr>
          <w:sz w:val="20"/>
          <w:szCs w:val="20"/>
          <w:color w:val="auto"/>
        </w:rPr>
      </w:pPr>
      <w:r>
        <w:rPr>
          <w:rFonts w:ascii="Arial" w:cs="Arial" w:eastAsia="Arial" w:hAnsi="Arial"/>
          <w:sz w:val="18"/>
          <w:szCs w:val="18"/>
          <w:color w:val="auto"/>
        </w:rPr>
        <w:t>The Company has recorded a deferred tax liability as of March 31, 2015 for the undistributed earnings of its remaining foreign subsidiaries for which it can no longer assert are permanently reinvested. The total amount of undistributed earnings available to be repatriated at March 31, 2015 was $1.2 million resulting in the recording of a $0.4 million net deferred federal and state income tax liability.</w:t>
      </w:r>
    </w:p>
    <w:p>
      <w:pPr>
        <w:spacing w:after="0" w:line="18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2015. The Company did not have any gross unrecognized tax benefits at March 31, 2015 and had approximately $1.1 million at March 31, 2014. These amounts represent the amount of unrecognized tax benefits that, if recognized, would result in a reduction of the Company’s effective tax rate.</w:t>
      </w:r>
    </w:p>
    <w:p>
      <w:pPr>
        <w:spacing w:after="0" w:line="19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During the quarter ended September 30, 2011, the Company concluded a tax audit for the period January 1, 2006 through March 31, 2008 with its foreign subsidiary in Austria. The results of the audit concluded that previously deducted amounts for certain trademark and management fees related to corporate affairs charges would no longer be tax deductible. During the quarter ended March 31, 2015, the Company concluded a second tax audit for the period April 1, 2008 through March 31, 2011 with its foreign subsidiary in Austria. The results of this audit found no exceptions to the trademark and management fees related to corporate affairs charges in the periods under audit.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tabular roll-forward of the Company’s uncertainties in income tax provision liability is presented below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2013</w:t>
            </w:r>
          </w:p>
        </w:tc>
        <w:tc>
          <w:tcPr>
            <w:tcW w:w="1140" w:type="dxa"/>
            <w:vAlign w:val="bottom"/>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FF0FC"/>
          </w:tcPr>
          <w:p>
            <w:pPr>
              <w:spacing w:after="0"/>
              <w:rPr>
                <w:sz w:val="19"/>
                <w:szCs w:val="19"/>
                <w:color w:val="auto"/>
              </w:rPr>
            </w:pPr>
          </w:p>
        </w:tc>
      </w:tr>
      <w:tr>
        <w:trPr>
          <w:trHeight w:val="230"/>
        </w:trPr>
        <w:tc>
          <w:tcPr>
            <w:tcW w:w="8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for tax positions</w:t>
            </w: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2014</w:t>
            </w:r>
          </w:p>
        </w:tc>
        <w:tc>
          <w:tcPr>
            <w:tcW w:w="1140" w:type="dxa"/>
            <w:vAlign w:val="bottom"/>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FF0FC"/>
          </w:tcPr>
          <w:p>
            <w:pPr>
              <w:spacing w:after="0"/>
              <w:rPr>
                <w:sz w:val="19"/>
                <w:szCs w:val="19"/>
                <w:color w:val="auto"/>
              </w:rPr>
            </w:pPr>
          </w:p>
        </w:tc>
      </w:tr>
      <w:tr>
        <w:trPr>
          <w:trHeight w:val="230"/>
        </w:trPr>
        <w:tc>
          <w:tcPr>
            <w:tcW w:w="8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Reversal of uncertain tax positions</w:t>
            </w: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2015</w:t>
            </w:r>
          </w:p>
        </w:tc>
        <w:tc>
          <w:tcPr>
            <w:tcW w:w="1140" w:type="dxa"/>
            <w:vAlign w:val="bottom"/>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 Interest and penalties were recorded beginning in the year ended March 31, 2011 through March 31, 2014, but were immaterial amounts and subsequently reversed in the year ended March 31, 2015.</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Company conducts business globally and, as a result, its subsidiaries file income tax returns in the U.S. federal jurisdiction and various state and foreign jurisdictions. Major tax jurisdictions include the U.S., China and Austria. All U.S. income tax filings for years ending March 31, 1995 through 2015 remain open and subject to examination and all years from the year ended March 31, 2012 through 2015 remain open and subject to examination in Austria. Tax filings in China for calendar years 2008 through 2014 will remain open and subject to examination. Tax filings in Romania for the year ended March 31, 2014 through 2015 remain open and subject to examination.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components of employee stock-based compensation for the years ended March 31, 2015, 2014 and 2013 were as follows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9"/>
              </w:rPr>
              <w:t>For the Years Ended March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8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8"/>
                <w:szCs w:val="18"/>
                <w:color w:val="auto"/>
              </w:rPr>
              <w:t>Stock options</w:t>
            </w: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46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awards</w:t>
            </w: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4,063</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4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584" w:right="239" w:bottom="1440" w:gutter="0" w:footer="0" w:header="0"/>
        </w:sectPr>
      </w:pPr>
    </w:p>
    <w:bookmarkStart w:id="83" w:name="page84"/>
    <w:bookmarkEnd w:id="83"/>
    <w:p>
      <w:pPr>
        <w:jc w:val="both"/>
        <w:ind w:firstLine="518"/>
        <w:spacing w:after="0" w:line="257"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$1.2 million and $2.0 million for the years ended March 31, 2015 and 2014, respectively. This expense will be recognized over a weighted-average expense period of approximately 2.7 years. The total unrecognized compensation cost for unvested outstanding restricted stock was $2.6 million and $1.8 million for the years ended March 31, 2015 and 2014, respectively. This expense will be recognized over a weighted-average expense period of approximately 1.2 years.</w:t>
      </w:r>
    </w:p>
    <w:p>
      <w:pPr>
        <w:spacing w:after="0" w:line="18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employee stock-based compensation expense by financial statement line item for the years ended March 31, 2015, 2014 and 2013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46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46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4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4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5,936</w:t>
            </w:r>
          </w:p>
        </w:tc>
        <w:tc>
          <w:tcPr>
            <w:tcW w:w="4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w:t>
            </w:r>
          </w:p>
        </w:tc>
        <w:tc>
          <w:tcPr>
            <w:tcW w:w="4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information concerning currently outstanding and exercisable employee and non-employee options: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9"/>
                <w:szCs w:val="19"/>
                <w:color w:val="auto"/>
              </w:rPr>
            </w:pPr>
          </w:p>
        </w:tc>
        <w:tc>
          <w:tcPr>
            <w:tcW w:w="1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9"/>
                <w:szCs w:val="19"/>
                <w:color w:val="auto"/>
              </w:rPr>
            </w:pPr>
          </w:p>
        </w:tc>
        <w:tc>
          <w:tcPr>
            <w:tcW w:w="1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9"/>
                <w:szCs w:val="19"/>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9"/>
                <w:szCs w:val="19"/>
                <w:color w:val="auto"/>
              </w:rPr>
            </w:pPr>
          </w:p>
        </w:tc>
        <w:tc>
          <w:tcPr>
            <w:tcW w:w="1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9"/>
                <w:szCs w:val="19"/>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9"/>
                <w:szCs w:val="19"/>
                <w:color w:val="auto"/>
              </w:rPr>
            </w:pPr>
          </w:p>
        </w:tc>
        <w:tc>
          <w:tcPr>
            <w:tcW w:w="16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9"/>
              </w:rPr>
              <w:t>Term</w:t>
            </w:r>
          </w:p>
        </w:tc>
        <w:tc>
          <w:tcPr>
            <w:tcW w:w="4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6"/>
        </w:trPr>
        <w:tc>
          <w:tcPr>
            <w:tcW w:w="4980" w:type="dxa"/>
            <w:vAlign w:val="bottom"/>
            <w:vMerge w:val="restart"/>
          </w:tcPr>
          <w:p>
            <w:pPr>
              <w:spacing w:after="0"/>
              <w:rPr>
                <w:sz w:val="20"/>
                <w:szCs w:val="20"/>
                <w:color w:val="auto"/>
              </w:rPr>
            </w:pPr>
            <w:r>
              <w:rPr>
                <w:rFonts w:ascii="Arial" w:cs="Arial" w:eastAsia="Arial" w:hAnsi="Arial"/>
                <w:sz w:val="18"/>
                <w:szCs w:val="18"/>
                <w:color w:val="auto"/>
              </w:rPr>
              <w:t>Outstanding at March 31, 2014</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294,184</w:t>
            </w:r>
          </w:p>
        </w:tc>
        <w:tc>
          <w:tcPr>
            <w:tcW w:w="1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Cancelled/forfeited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(13,244)</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2015</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380,940</w:t>
            </w: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84.57</w:t>
            </w:r>
          </w:p>
        </w:tc>
        <w:tc>
          <w:tcPr>
            <w:tcW w:w="16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March 31, 2015</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210,869</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Fully vested and expected to vest at March 31, 2015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363,021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weighted-average grant-date fair value of stock option awards granted during the years ended March 31, 2015, 2014 and 2013 was $10.18 per share, $16.20 per share, and $25.60 per share, respectively. Intrinsic value represents the amount by which the market price of the common stock exceeds the exercise price of the options. Given the decline in the Company’s stock price, exercisable options as of March 31, 2015, 2014 and 2013 had no intrinsic value.</w:t>
      </w:r>
    </w:p>
    <w:p>
      <w:pPr>
        <w:spacing w:after="0" w:line="14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weighted average assumptions used in the Black-Scholes valuation model for stock options granted during the years ended March 31, 2015, 2014, and 2013 are as follows:</w:t>
      </w:r>
    </w:p>
    <w:p>
      <w:pPr>
        <w:spacing w:after="0" w:line="176"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For the Years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0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3"/>
                <w:szCs w:val="13"/>
                <w:color w:val="auto"/>
              </w:rPr>
            </w:pP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85.5%</w:t>
            </w: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75.1%</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r>
      <w:tr>
        <w:trPr>
          <w:trHeight w:val="230"/>
        </w:trPr>
        <w:tc>
          <w:tcPr>
            <w:tcW w:w="6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1.7%</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r>
      <w:tr>
        <w:trPr>
          <w:trHeight w:val="23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Expected life (years)</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r>
      <w:tr>
        <w:trPr>
          <w:trHeight w:val="230"/>
        </w:trPr>
        <w:tc>
          <w:tcPr>
            <w:tcW w:w="6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Dividend yield</w:t>
            </w:r>
          </w:p>
        </w:tc>
        <w:tc>
          <w:tcPr>
            <w:tcW w:w="10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None</w:t>
            </w:r>
          </w:p>
        </w:tc>
        <w:tc>
          <w:tcPr>
            <w:tcW w:w="202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None</w:t>
            </w: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U.S. Treasury rates.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20"/>
          </w:cols>
          <w:pgMar w:left="240" w:top="584" w:right="23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color w:val="auto"/>
        </w:rPr>
        <w:t>The following table summarizes the employee and non-employee restricted stock activity for the year ended March 31,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left="327"/>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center"/>
              <w:ind w:left="327"/>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center"/>
              <w:ind w:left="327"/>
              <w:spacing w:after="0"/>
              <w:rPr>
                <w:sz w:val="20"/>
                <w:szCs w:val="20"/>
                <w:color w:val="auto"/>
              </w:rPr>
            </w:pPr>
            <w:r>
              <w:rPr>
                <w:rFonts w:ascii="Arial" w:cs="Arial" w:eastAsia="Arial" w:hAnsi="Arial"/>
                <w:sz w:val="14"/>
                <w:szCs w:val="14"/>
                <w:b w:val="1"/>
                <w:bCs w:val="1"/>
                <w:color w:val="auto"/>
                <w:w w:val="97"/>
              </w:rPr>
              <w:t>Grant Date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1980" w:type="dxa"/>
            <w:vAlign w:val="bottom"/>
            <w:gridSpan w:val="3"/>
          </w:tcPr>
          <w:p>
            <w:pPr>
              <w:ind w:left="54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27"/>
              <w:spacing w:after="0"/>
              <w:rPr>
                <w:sz w:val="20"/>
                <w:szCs w:val="20"/>
                <w:color w:val="auto"/>
              </w:rPr>
            </w:pPr>
            <w:r>
              <w:rPr>
                <w:rFonts w:ascii="Arial" w:cs="Arial" w:eastAsia="Arial" w:hAnsi="Arial"/>
                <w:sz w:val="14"/>
                <w:szCs w:val="14"/>
                <w:b w:val="1"/>
                <w:bCs w:val="1"/>
                <w:color w:val="auto"/>
                <w:w w:val="98"/>
              </w:rPr>
              <w:t>Fair Value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8"/>
                <w:szCs w:val="18"/>
                <w:color w:val="auto"/>
              </w:rPr>
              <w:t>Outstanding at March 31, 2014</w:t>
            </w: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241,536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33.43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332,782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16.68</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Vested</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(210,942)</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29.09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(22,788)</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18.91</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total fair value of restricted stock that was granted during the years ended March 31, 2015, 2014 and 2013 was $5.6 million, $4.5 million, which includes $0.5 million for bonus and severance, and $10.6 million, which includes $1.6 million for bonus and severance, respectively. The total fair value of restricted stock that vested during the years ended March 31, 2015, 2014 and 2013 was $3.1 million, $3.7 million, which includes $0.5 million for bonus and severance, and $3.4 million, which includes $1.6 million for bonus and severance respectively.</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restricted stock granted during the years ended March 31, 2015, 2014 and 2013 includes approximately 38,021, 40,201, and 142,212 shares, respectively, of performance-based restricted stock, which would vest upon achievement of certain financial performance measurements. Included in the table above are 10,000 shares of restricted stock units outstanding.</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remaining shares granted vest upon the passage of time. For awards that vest upon the passage of time, expense is being recorded over the vesting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of March 31, 2015, the Company had two active stock plans: the 2007 Stock Incentive Plan, as amended (the “2007 Plan”) and the Amended and Restated 2007 Director Stock Plan (the “2007 Director Plan”). The 2007 Stock Incentive Plan replaced the Company’s 2004 Stock Incentive Plan upon the approval by the Company’s stockholders on August 3, 2007. The 2007 Director Stock Plan replaced the Second Amended and Restated 1997 Director Stock Option Plan, which expired pursuant to its terms on May 2, 2007. Both the 2007 Plan and the 2007 Director Plan were approved by the Company’s stockholders on August 1, 2014.</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2007 Plan provides for the grant of incentive stock options intended to qualify under Section 422 of the Internal Revenue Code of 1986, as amended, nonstatutory stock options, stock appreciation rights, restricted stock, restricted stock units and other stock-based awards. In the case of options, the exercise price shall be equal to at least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w:t>
      </w:r>
    </w:p>
    <w:p>
      <w:pPr>
        <w:spacing w:after="0" w:line="20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of March 31, 2015, the 2007 Director Plan provided for the grant of nonstatutory stock options and stock awards to members of the Board of Directors who are not also employees of the Company (outside directors). Under the terms of the 2007 Director Plan as of March 31, 2014, each outside director was granted an option to purchase 1,000 shares of common stock upon his or her initial election to the Board of Directors with an exercise price equal to the fair market value of the Company’s common stock on the date of the grant. These options vest in equal annual installments over a two-year period. In addition, as of March 31, 2014, each outside director was granted an award of 300 shares of common stock three business days following each annual meeting of stockholders, provided that such outside director had served as a director for at least one year. Under the terms of the 2007 Director Plan effective April 1, 2014,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effective April 1, 2014, each outside director is granted an award of shares of common stock with an aggregate grant date value equal to $40,000 three business days following the last day of each fiscal year, subject to proration for any partial fiscal year of service.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2015, the 2007 Plan had 557,578 shares and the 2007 Director Plan had 64,700 shares available for future issuance.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584" w:right="239" w:bottom="1440" w:gutter="0" w:footer="0" w:header="0"/>
        </w:sectPr>
      </w:pPr>
    </w:p>
    <w:bookmarkStart w:id="85" w:name="page86"/>
    <w:bookmarkEnd w:id="85"/>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$0.1 million for each of the years ended March 31, 2015, 2014, and 2013, respectively, related to the ESPP. The Company issued 16,708 shares of common stock related to the ESPP during the year ended March 31, 2015. As of March 31, 2015, the ESPP had 8,168 shares available for future issuance.</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ATM Arrangement</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November 15, 2013, the Company entered into an ATM arrangement, pursuant to which, the Company could, at its discretion, sell up to $30.0 million of the Company’s common stock through its sales agent, MLV &amp; Co. LLC (“MLV”). Sales of common stock made under the ATM were made on The NASDAQ Global Market under the Company’s previously filed and currently effective Registration Statement on Form S-3 (File No. 333-191153) by means of ordinary brokers’ transactions at market prices. Under the terms of the ATM, the Company could sell shares of its common stock through MLV, on The NASDAQ Global Market or otherwise, at negotiated prices or at prices related to the prevailing market price. Under the terms of the ATM, MLV could not engage in any proprietary trading or trading as principal for MLV’s own account. MLV used its commercially reasonable efforts to sell the Company’s common stock from time to time, based upon the Company’s instructions (including any price, time or size limits or other customary parameters or conditions the Company may impose). The Company paid MLV a commission of up to 3% of the gross proceeds from the sale of shares of its common stock under the ATM. The Company has also agreed to provide MLV with customary indemnification rights.</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years ended March 31, 2015 and 2014, the Company received net proceeds of $5.8 million and $7.5 million, including sales commissions and offering expenses, from sales of approximately 375,000 and 487,000 shares of its common stock at an average sales price of approximately $16.05 and $16.24 per share under the ATM, respectively. The ATM arrangement was terminated on November 5, 2014.</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November 2014 Offering</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November 13, 2014, the Company completed an equity offering to Hudson Bay Capital, under which the Company sold 909,090 units of its common stock at $11.00 per unit (adjusted to reflect our 1-for-10 reverse stock split). Each unit consisted of one share of common stock and 0.90 of a warrant to purchase one share of common stock, or a warrant to purchase 818,181 shares of common stock. (See Note 10, “Warrants and Derivative Liabilities”, for further information regarding the warrant.). After the underwriting discount and estimated offering expenses payable by the Company, the Company received net proceeds from the offering of approximately $9.1 million. The Company allocated the net proceeds first to the fair value of the warrants as determined under a lattice model on November 13, 2014 (See Note 10, “Warrants and Derivative Liabilities,” for a discussion on both warrants and the valuation assumptions used) with the residual fair value allocated to the common stock. Costs of the offering were allocated to other (expense) income and equity based on the relative fair value of the warrants and common stock,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As of March 31, 2015, the Company had paid the remaining adverse purchase commitment liability. As of March 31, 2014, the Company recorded a liability for adverse purchase commitments of $0.4 million, which was paid during the year ended March 31, 2015.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Operating leases include minimum payments under leases for the Company’s facilities and certain equipment; see Item 2, “Properties.” The Company’s primary leased facilities are located in New Berlin, Wisconsin; Suzhou and Beijing, China; Klagenfurt, Austria; and Timisoara, Romania with a combined total of approximately 272,000 square feet of space. These leases have varying expiration dates through March 2021 which can generally be terminated at the Company’s request after a six month advance notice. The Company leases other locations which focus primarily on applications engineering, sales and/or field service and do not have significant leases or physical presence.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692" w:right="239" w:bottom="1440" w:gutter="0" w:footer="0" w:header="0"/>
        </w:sectPr>
      </w:pPr>
    </w:p>
    <w:bookmarkStart w:id="86" w:name="page87"/>
    <w:bookmarkEnd w:id="86"/>
    <w:p>
      <w:pPr>
        <w:ind w:left="520"/>
        <w:spacing w:after="0"/>
        <w:rPr>
          <w:sz w:val="20"/>
          <w:szCs w:val="20"/>
          <w:color w:val="auto"/>
        </w:rPr>
      </w:pPr>
      <w:r>
        <w:rPr>
          <w:rFonts w:ascii="Arial" w:cs="Arial" w:eastAsia="Arial" w:hAnsi="Arial"/>
          <w:sz w:val="18"/>
          <w:szCs w:val="18"/>
          <w:color w:val="auto"/>
        </w:rPr>
        <w:t>Minimum future lease commitments at March 31, 2015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394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For the years ended March 31,</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3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2017</w:t>
            </w:r>
          </w:p>
        </w:tc>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2019</w:t>
            </w:r>
          </w:p>
        </w:tc>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6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5"/>
            <w:vMerge w:val="restart"/>
          </w:tcPr>
          <w:p>
            <w:pPr>
              <w:ind w:left="520"/>
              <w:spacing w:after="0"/>
              <w:rPr>
                <w:sz w:val="20"/>
                <w:szCs w:val="20"/>
                <w:color w:val="auto"/>
              </w:rPr>
            </w:pPr>
            <w:r>
              <w:rPr>
                <w:rFonts w:ascii="Arial" w:cs="Arial" w:eastAsia="Arial" w:hAnsi="Arial"/>
                <w:sz w:val="18"/>
                <w:szCs w:val="18"/>
                <w:color w:val="auto"/>
              </w:rPr>
              <w:t>Rent expense under the operating leases mentioned above was as follows (in thousands):</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center"/>
              <w:ind w:right="25"/>
              <w:spacing w:after="0"/>
              <w:rPr>
                <w:sz w:val="20"/>
                <w:szCs w:val="20"/>
                <w:color w:val="auto"/>
              </w:rPr>
            </w:pPr>
            <w:r>
              <w:rPr>
                <w:rFonts w:ascii="Arial" w:cs="Arial" w:eastAsia="Arial" w:hAnsi="Arial"/>
                <w:sz w:val="14"/>
                <w:szCs w:val="14"/>
                <w:b w:val="1"/>
                <w:bCs w:val="1"/>
                <w:color w:val="auto"/>
                <w:w w:val="91"/>
              </w:rPr>
              <w:t>For the years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5"/>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tcBorders>
              <w:bottom w:val="single" w:sz="8" w:color="CFF0FC"/>
            </w:tcBorders>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left="301"/>
              <w:spacing w:after="0" w:line="155"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Rent expense</w:t>
            </w:r>
          </w:p>
        </w:tc>
        <w:tc>
          <w:tcPr>
            <w:tcW w:w="36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173"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Ghodawat, a company registered in India carrying on the business of wind power development, lodged a Request for Arbitration with the ICC Court on May 12, 2011 and named the Company’s wholly-owned Austrian subsidiary, AMSC Austria GmbH (“AMSC Austria”) as the Respondent. Under the Request for Arbitration, Ghodawat alleged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amounted to approximately €18 million ($24 million). AMSC Austria submitted counterclaims under the License Agreement against Ghodawat in the amount of approximately €6 million ($8 million). On August 29, 2014, the ICC Court ruled that AMSC Austria was liable for damages and awarded Ghodawat approximately €8.3 million, which included reimbursement of legal costs and associated expenses. Interest on this amount accrued at a rate of 5.33% from the date of award. The Company had recorded a loss contingency of $0.5 million based on its assessment of probable losses on this claim in a prior period. As a result of the arbitration award liability, the Company recorded a charge of $10.2 million during the three months ended September 30, 2014.</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On February 4, 2015, AMSC Austria entered into a Settlement Agreement with Ghodawat, which provided for, among other things, (i) a payment by AMSC Austria to Ghodawat of €7.45 million, and (ii) upon payment by AMSC Austria to Ghodawat, the full settlement of any and all disputes and claims between the parties (including their respective parent and affiliated companies), in particular relating to or arising out of the award. The Company paid the settlement amount during the fourth quarter of fiscal 2014. As a result of the Settlement Agreement, the Company reversed a portion of the accrued arbitration liability and recorded a reversal of an excess accrual of approximately $1.2 million in the fourth quarter of fiscal 2014. The Company’s insurer, Catlin Specialty Insurance Company (“Catlin”) sought and received a ruling from the Massachusetts Superior Court that coverage does not apply to the arbitration award liability. On January 14, 2015, the Company and AMSC Austria entered into a Settlement Agreement and Release with Catlin, which provided for, among other things, (i) the Company’s and AMSC Austria’s release of all claims against Catlin relating to the arbitration award liability, and (ii) Catlin’s release of all claims against the Company and AMSC Austria relating to approximately $2.3 million reimbursed to date under the insurance policy for expenses incurred in connection with the arbitration proceedings. As a result of the settlement with Catlin, in the fourth quarter of fiscal 2014, the Company reversed an accrual of approximately $2.2 million for expenses previously reimbursed by Catlin under the policy.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420"/>
          </w:cols>
          <w:pgMar w:left="240" w:top="476" w:right="239" w:bottom="1440" w:gutter="0" w:footer="0" w:header="0"/>
        </w:sectPr>
      </w:pPr>
    </w:p>
    <w:bookmarkStart w:id="87" w:name="page88"/>
    <w:bookmarkEnd w:id="87"/>
    <w:p>
      <w:pPr>
        <w:jc w:val="both"/>
        <w:ind w:firstLine="518"/>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the Company and two of its officers in the United States District Court for the District of Massachusetts (the “Court”); one complaint additionally asserted claims against the underwriters who participated in its November 12, 2010 securities offering. On June 7, 2011, the Court consolidated these actions under the caption </w:t>
      </w:r>
      <w:r>
        <w:rPr>
          <w:rFonts w:ascii="Arial" w:cs="Arial" w:eastAsia="Arial" w:hAnsi="Arial"/>
          <w:sz w:val="16"/>
          <w:szCs w:val="16"/>
          <w:i w:val="1"/>
          <w:iCs w:val="1"/>
          <w:color w:val="auto"/>
        </w:rPr>
        <w:t>Lenartz v.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Superconductor Corporation, et al.</w:t>
      </w:r>
      <w:r>
        <w:rPr>
          <w:rFonts w:ascii="Arial" w:cs="Arial" w:eastAsia="Arial" w:hAnsi="Arial"/>
          <w:sz w:val="16"/>
          <w:szCs w:val="16"/>
          <w:color w:val="auto"/>
        </w:rPr>
        <w:t>, Docket No. 1:11-cv-10582-WGY. On August 31, 2011, Lead Plaintiff, the Plumbers and Pipefitters National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Fund, filed a consolidated amended complaint against the Company, its officers and directors, and the underwriters who participated in its November 12, 2010 securities offering, asserting claims under sections 10(b) and 20(a) of the Securities Exchange Act of 1934, as amended (the “Exchange Act”) and Rule 10b-5 promulgated under the Exchange Act, as well as under sections 11, 12(a)(2) and 15 of the Securities Act. On November 19, 2013, the Company entered into a Stipulation and Agreement of Settlement (the “Stipulation”), which resolved the claims asserted against the Company, certain of its current and former officers and directors, and the underwriters. The terms of the Stipulation provided, among other things, a settlement payment by the Company of $10.0 million, $8.2 million of which was to be funded by the Company’s insurers and $1.8 million of which was paid through the issuance of 94,488 shares of its common stock (the “Settlement Shares”). In the event that the value of the Settlement Shares (as calculated under the Stipulation) decreased as of the effective date of the settlement, the Company was required to make a cash payment for the difference in value. The effective date of the Stipulation was June 5, 2014 (the “Effective Date”). Pursuant to the terms of the Stipulation, (i) on June 11, 2014, the Company made a cash payment of approximately $0.5 million for the decrease in value of the Settlement Shares (as calculated under the Stipulation) as of the Effective Date, and (ii) on June 18, 2014, the Company issued the Settlement Shares. The issuance of the Settlement Shares was exempt from registration pursuant to Section 3(a)(10) of the Securities Act. The aforementioned payments by the Company represented the final amounts to be paid to the plaintiffs under the Stipulation.</w:t>
      </w:r>
    </w:p>
    <w:p>
      <w:pPr>
        <w:spacing w:after="0" w:line="178"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the Company (as a nominal defendant) and certain of its directors in the Court. On July 5, 2011, the Court consolidated three of these actions under the caption </w:t>
      </w:r>
      <w:r>
        <w:rPr>
          <w:rFonts w:ascii="Arial" w:cs="Arial" w:eastAsia="Arial" w:hAnsi="Arial"/>
          <w:sz w:val="16"/>
          <w:szCs w:val="16"/>
          <w:i w:val="1"/>
          <w:iCs w:val="1"/>
          <w:color w:val="auto"/>
        </w:rPr>
        <w:t>In re American Superconductor</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Derivative Litigation</w:t>
      </w:r>
      <w:r>
        <w:rPr>
          <w:rFonts w:ascii="Arial" w:cs="Arial" w:eastAsia="Arial" w:hAnsi="Arial"/>
          <w:sz w:val="16"/>
          <w:szCs w:val="16"/>
          <w:color w:val="auto"/>
        </w:rPr>
        <w:t>, Docket No. 1:11-cv-10784-WGY. On June 1, 2011, the plaintiff in the fourth action,</w:t>
      </w:r>
      <w:r>
        <w:rPr>
          <w:rFonts w:ascii="Arial" w:cs="Arial" w:eastAsia="Arial" w:hAnsi="Arial"/>
          <w:sz w:val="16"/>
          <w:szCs w:val="16"/>
          <w:i w:val="1"/>
          <w:iCs w:val="1"/>
          <w:color w:val="auto"/>
        </w:rPr>
        <w:t xml:space="preserve"> Marlborough Family Revocable Trust v. Yurek, et al.</w:t>
      </w:r>
      <w:r>
        <w:rPr>
          <w:rFonts w:ascii="Arial" w:cs="Arial" w:eastAsia="Arial" w:hAnsi="Arial"/>
          <w:sz w:val="16"/>
          <w:szCs w:val="16"/>
          <w:color w:val="auto"/>
        </w:rPr>
        <w:t>, moved to voluntarily dismiss its complaint and refiled its complaint in Superior Court for the Commonwealth of Massachusetts, Middlesex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was captioned </w:t>
      </w:r>
      <w:r>
        <w:rPr>
          <w:rFonts w:ascii="Arial" w:cs="Arial" w:eastAsia="Arial" w:hAnsi="Arial"/>
          <w:sz w:val="16"/>
          <w:szCs w:val="16"/>
          <w:i w:val="1"/>
          <w:iCs w:val="1"/>
          <w:color w:val="auto"/>
        </w:rPr>
        <w:t>In re American Superconductor Corporation Shareholder Derivative Litigation</w:t>
      </w:r>
      <w:r>
        <w:rPr>
          <w:rFonts w:ascii="Arial" w:cs="Arial" w:eastAsia="Arial" w:hAnsi="Arial"/>
          <w:sz w:val="16"/>
          <w:szCs w:val="16"/>
          <w:color w:val="auto"/>
        </w:rPr>
        <w:t xml:space="preserve">, Docket No. 11-1961. On January 12, 2012, an additional shareholder derivative complaint was filed in the Court of Chancery for the State of Delaware. That matter was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On February 4, 2014, the Company entered into a Stipulation and Agreement of Settlement (the “Derivative Stipulation”) to settle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In re American Superconductor</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Shareholder Derivative Litigation</w:t>
      </w:r>
      <w:r>
        <w:rPr>
          <w:rFonts w:ascii="Arial" w:cs="Arial" w:eastAsia="Arial" w:hAnsi="Arial"/>
          <w:sz w:val="16"/>
          <w:szCs w:val="16"/>
          <w:color w:val="auto"/>
        </w:rPr>
        <w:t>, and</w:t>
      </w:r>
      <w:r>
        <w:rPr>
          <w:rFonts w:ascii="Arial" w:cs="Arial" w:eastAsia="Arial" w:hAnsi="Arial"/>
          <w:sz w:val="16"/>
          <w:szCs w:val="16"/>
          <w:i w:val="1"/>
          <w:iCs w:val="1"/>
          <w:color w:val="auto"/>
        </w:rPr>
        <w:t xml:space="preserve"> Krasnoff v. Budhraja, </w:t>
      </w:r>
      <w:r>
        <w:rPr>
          <w:rFonts w:ascii="Arial" w:cs="Arial" w:eastAsia="Arial" w:hAnsi="Arial"/>
          <w:sz w:val="16"/>
          <w:szCs w:val="16"/>
          <w:color w:val="auto"/>
        </w:rPr>
        <w:t>et al., (together, the “Derivative Actions”). The Derivative Stipulation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among other things, (a) a release of all claims relating to the Derivative Actions for the Company, the individual defendants, who are all current or former officers and directors of the Company, and the plaintiffs; (b) a requirement that the Company pay to plaintiffs’ counsel $475,000 for fees and expenses, which was fully funded by the Company’s insurers; and (c) certain additions to the Company’s corporate governance policies. The terms of the Derivative Stipulation were subject to approval by the Court following notice to stockholders. By order entered May 8, 2014, the Court approved the terms of the Derivative Stipulation and issued a final judgment dismissing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Pursuant to the terms of the Derivative Stipulation, the Company and the plaintiffs subsequently jointly sought and obtained dismissal of </w:t>
      </w:r>
      <w:r>
        <w:rPr>
          <w:rFonts w:ascii="Arial" w:cs="Arial" w:eastAsia="Arial" w:hAnsi="Arial"/>
          <w:sz w:val="16"/>
          <w:szCs w:val="16"/>
          <w:i w:val="1"/>
          <w:iCs w:val="1"/>
          <w:color w:val="auto"/>
        </w:rPr>
        <w:t>In re American Superconductor 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 Derivative Litigation</w:t>
      </w:r>
      <w:r>
        <w:rPr>
          <w:rFonts w:ascii="Arial" w:cs="Arial" w:eastAsia="Arial" w:hAnsi="Arial"/>
          <w:sz w:val="16"/>
          <w:szCs w:val="16"/>
          <w:color w:val="auto"/>
        </w:rPr>
        <w:t>, and</w:t>
      </w:r>
      <w:r>
        <w:rPr>
          <w:rFonts w:ascii="Arial" w:cs="Arial" w:eastAsia="Arial" w:hAnsi="Arial"/>
          <w:sz w:val="16"/>
          <w:szCs w:val="16"/>
          <w:i w:val="1"/>
          <w:iCs w:val="1"/>
          <w:color w:val="auto"/>
        </w:rPr>
        <w:t xml:space="preserve"> Krasnoff v. Budhraja, et al</w:t>
      </w:r>
      <w:r>
        <w:rPr>
          <w:rFonts w:ascii="Arial" w:cs="Arial" w:eastAsia="Arial" w:hAnsi="Arial"/>
          <w:sz w:val="16"/>
          <w:szCs w:val="16"/>
          <w:color w:val="auto"/>
        </w:rPr>
        <w:t>. The effective date of the settlement was June 10, 2014.</w:t>
      </w:r>
    </w:p>
    <w:p>
      <w:pPr>
        <w:spacing w:after="0" w:line="17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and retention (including interest) in the amount of approximately RMB 485 million ($76 million) due to Sinovel’s breaches of its contracts. The Company is also seeking specific performance of its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420"/>
          </w:cols>
          <w:pgMar w:left="240" w:top="584" w:right="239" w:bottom="1440" w:gutter="0" w:footer="0" w:header="0"/>
        </w:sectPr>
      </w:pPr>
    </w:p>
    <w:bookmarkStart w:id="88" w:name="page89"/>
    <w:bookmarkEnd w:id="88"/>
    <w:p>
      <w:pPr>
        <w:jc w:val="both"/>
        <w:ind w:firstLine="518"/>
        <w:spacing w:after="0" w:line="269" w:lineRule="auto"/>
        <w:rPr>
          <w:sz w:val="20"/>
          <w:szCs w:val="20"/>
          <w:color w:val="auto"/>
        </w:rPr>
      </w:pPr>
      <w:r>
        <w:rPr>
          <w:rFonts w:ascii="Arial" w:cs="Arial" w:eastAsia="Arial" w:hAnsi="Arial"/>
          <w:sz w:val="17"/>
          <w:szCs w:val="17"/>
          <w:color w:val="auto"/>
        </w:rPr>
        <w:t xml:space="preserve">On October 8, 2011, Sinovel filed with the Beijing Arbitration Commission an application under the caption </w:t>
      </w:r>
      <w:r>
        <w:rPr>
          <w:rFonts w:ascii="Arial" w:cs="Arial" w:eastAsia="Arial" w:hAnsi="Arial"/>
          <w:sz w:val="17"/>
          <w:szCs w:val="17"/>
          <w:i w:val="1"/>
          <w:iCs w:val="1"/>
          <w:color w:val="auto"/>
        </w:rPr>
        <w:t>(2011) Jing Zhong An Zi No. 0963,</w:t>
      </w:r>
      <w:r>
        <w:rPr>
          <w:rFonts w:ascii="Arial" w:cs="Arial" w:eastAsia="Arial" w:hAnsi="Arial"/>
          <w:sz w:val="17"/>
          <w:szCs w:val="17"/>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7"/>
          <w:szCs w:val="17"/>
          <w:i w:val="1"/>
          <w:iCs w:val="1"/>
          <w:color w:val="auto"/>
        </w:rPr>
        <w:t>(2012) Jing Zhong An Zi No. 0157,</w:t>
      </w:r>
      <w:r>
        <w:rPr>
          <w:rFonts w:ascii="Arial" w:cs="Arial" w:eastAsia="Arial" w:hAnsi="Arial"/>
          <w:sz w:val="17"/>
          <w:szCs w:val="17"/>
          <w:color w:val="auto"/>
        </w:rPr>
        <w:t xml:space="preserve">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105 million ($17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183"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 xml:space="preserve">The Company also submitted a civil action application to the Beijing No. 1 Intermediate People’s Court under the caption </w:t>
      </w:r>
      <w:r>
        <w:rPr>
          <w:rFonts w:ascii="Arial" w:cs="Arial" w:eastAsia="Arial" w:hAnsi="Arial"/>
          <w:sz w:val="16"/>
          <w:szCs w:val="16"/>
          <w:i w:val="1"/>
          <w:iCs w:val="1"/>
          <w:color w:val="auto"/>
        </w:rPr>
        <w:t>(2011)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15524, </w:t>
      </w:r>
      <w:r>
        <w:rPr>
          <w:rFonts w:ascii="Arial" w:cs="Arial" w:eastAsia="Arial" w:hAnsi="Arial"/>
          <w:sz w:val="16"/>
          <w:szCs w:val="16"/>
          <w:color w:val="auto"/>
        </w:rPr>
        <w:t>against Sinovel for software copyright infringement on September 13, 2011. The application alleges Sinovel’s unauthorized use of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Austrian subsidiary was arrested in Austria on charges of economic espionage and fraudulent manipulation of data. In September 2011, the former employee pled guilty to the charges, and was imprisoned.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Company’s PM3000 power converters in 1.5MW wind turbines in the field. The Company is seeking a cease and desist order with respect to the unauthorized copying, installation and use of its software, monetary damages of approximately RMB 38 million ($6 million) for its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On November 23, 2012, China’s Supreme People’s Court issued a Civil Ruling, holding that (1) it will conduct a re-trial of Sinovel’s appeal, and (2) the lower court’s decision will be stayed pending the re-trial. China’s Supreme People’s Court conducted a re-trial of Sinovel’s appeal on May 29, 2013. On January 26, 2014, the Supreme People’s Court ruled to uphold the Beijing Higher People’s Court ruling that the dispute shall be heard by the court. On September 15, 2014, the Beijing No. 1 Intermediate People’s Court held its first substantive hearing in the Beijing case. At the hearing, the parties presented evidence, reviewed claims, and answered questions from the court. On April 24, 2015, the Company received the sentence made by the Beijing No. 1 Intermediate People’s Court that it dismissed the case for what it cited was a lack of evidence. On May 6, 2015, the Company filed an appeal of the Beijing No. 1 Intermediate People’s Court decision to dismiss the case with the Beijing Higher People’s Court.</w:t>
      </w:r>
    </w:p>
    <w:p>
      <w:pPr>
        <w:spacing w:after="0" w:line="17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On June 7, 2012, the Company received an Acceptance Notice from the Beijing No.1 Intermediate People’s Court under the caption </w:t>
      </w:r>
      <w:r>
        <w:rPr>
          <w:rFonts w:ascii="Arial" w:cs="Arial" w:eastAsia="Arial" w:hAnsi="Arial"/>
          <w:sz w:val="16"/>
          <w:szCs w:val="16"/>
          <w:i w:val="1"/>
          <w:iCs w:val="1"/>
          <w:color w:val="auto"/>
        </w:rPr>
        <w:t>(2012) Yi Zhong Min Chu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Zi No.6833. </w:t>
      </w:r>
      <w:r>
        <w:rPr>
          <w:rFonts w:ascii="Arial" w:cs="Arial" w:eastAsia="Arial" w:hAnsi="Arial"/>
          <w:sz w:val="16"/>
          <w:szCs w:val="16"/>
          <w:color w:val="auto"/>
        </w:rPr>
        <w:t>In August 2012, Sinovel filed a motion to remove this case from the Beijing No. 1 Intermediate People’s Court and transfer the matter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Beijing Arbitration Commission. On February 24, 2014, the Beijing No. 1 Intermediate People’s Court denied Sinovel’s motion to remove and transfer the case. On March 13, 2014, Sinovel filed an appeal of the Beijing No. 1 Intermediate People’s Court decision to the Beijing Higher People’s Court. On August 7, 2014, the Beijing Higher People’s Court upheld the Beijing No.1 Intermediate Court’s decision and rejected Sinovel’s appeal regarding the jurisdiction opposition. The Beijing No. 1 Intermediate Court held its first substantive hearing on May 11,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420"/>
          </w:cols>
          <w:pgMar w:left="240" w:top="584" w:right="239" w:bottom="1440" w:gutter="0" w:footer="0" w:header="0"/>
        </w:sectPr>
      </w:pPr>
    </w:p>
    <w:bookmarkStart w:id="89" w:name="page90"/>
    <w:bookmarkEnd w:id="89"/>
    <w:p>
      <w:pPr>
        <w:jc w:val="both"/>
        <w:ind w:firstLine="518"/>
        <w:spacing w:after="0" w:line="267" w:lineRule="auto"/>
        <w:rPr>
          <w:sz w:val="20"/>
          <w:szCs w:val="20"/>
          <w:color w:val="auto"/>
        </w:rPr>
      </w:pPr>
      <w:r>
        <w:rPr>
          <w:rFonts w:ascii="Arial" w:cs="Arial" w:eastAsia="Arial" w:hAnsi="Arial"/>
          <w:sz w:val="17"/>
          <w:szCs w:val="17"/>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7"/>
          <w:szCs w:val="17"/>
          <w:i w:val="1"/>
          <w:iCs w:val="1"/>
          <w:color w:val="auto"/>
        </w:rPr>
        <w:t>(2011) Hainan Yi Zhong Min</w:t>
      </w:r>
      <w:r>
        <w:rPr>
          <w:rFonts w:ascii="Arial" w:cs="Arial" w:eastAsia="Arial" w:hAnsi="Arial"/>
          <w:sz w:val="17"/>
          <w:szCs w:val="17"/>
          <w:color w:val="auto"/>
        </w:rPr>
        <w:t xml:space="preserve"> </w:t>
      </w:r>
      <w:r>
        <w:rPr>
          <w:rFonts w:ascii="Arial" w:cs="Arial" w:eastAsia="Arial" w:hAnsi="Arial"/>
          <w:sz w:val="17"/>
          <w:szCs w:val="17"/>
          <w:i w:val="1"/>
          <w:iCs w:val="1"/>
          <w:color w:val="auto"/>
        </w:rPr>
        <w:t>Chu Zi No. 62</w:t>
      </w:r>
      <w:r>
        <w:rPr>
          <w:rFonts w:ascii="Arial" w:cs="Arial" w:eastAsia="Arial" w:hAnsi="Arial"/>
          <w:sz w:val="17"/>
          <w:szCs w:val="17"/>
          <w:color w:val="auto"/>
        </w:rPr>
        <w:t>. The application alleges that the Company’s PM1000 converters in certain Sinovel wind turbines have been replaced by converters produced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Guotong. 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the Company received the Civil Ruling from the court, which granted Sinovel’s motion, and dismissed the entire case. The Company appealed the court’s ruling to the Hainan Higher Court, which on April 5, 2012 upheld the decision of the Hainan Province No. 1 Intermediate People’s Court. On April 9, 2012, the Company filed an appeal of the Hainan Higher Court’s decision with China’s Supreme People’s Court. China’s Supreme People’s Court accepted the appeal on May 23, 2012. The case is captioned, (2012) Min Shen Zi No. 630. On December 20, 2012, China’s Supreme People’s Court issued a Civil ruling, holding that (1) it will conduct a re-trial of the Company’s appeal and (2) the lower court’s decision will be stayed pending the re-trial. China’s Supreme People’s Court conducted a re-trial of Sinovel’s appeal on May 29, 2013. On January 26, 2014, the Supreme People’s Court revoked Hainan No. 1 Intermediate People’s Court and Hainan Higher People’s Court rulings and ruled that the case shall be heard by the Hainan No. 1 Intermediate People’s Court. The Hainan No. 1 Intermediate People’s Court accepted the case under the caption </w:t>
      </w:r>
      <w:r>
        <w:rPr>
          <w:rFonts w:ascii="Arial" w:cs="Arial" w:eastAsia="Arial" w:hAnsi="Arial"/>
          <w:sz w:val="17"/>
          <w:szCs w:val="17"/>
          <w:i w:val="1"/>
          <w:iCs w:val="1"/>
          <w:color w:val="auto"/>
        </w:rPr>
        <w:t>(2014) Hainan Yi Zhong Min</w:t>
      </w:r>
      <w:r>
        <w:rPr>
          <w:rFonts w:ascii="Arial" w:cs="Arial" w:eastAsia="Arial" w:hAnsi="Arial"/>
          <w:sz w:val="17"/>
          <w:szCs w:val="17"/>
          <w:color w:val="auto"/>
        </w:rPr>
        <w:t xml:space="preserve"> </w:t>
      </w:r>
      <w:r>
        <w:rPr>
          <w:rFonts w:ascii="Arial" w:cs="Arial" w:eastAsia="Arial" w:hAnsi="Arial"/>
          <w:sz w:val="17"/>
          <w:szCs w:val="17"/>
          <w:i w:val="1"/>
          <w:iCs w:val="1"/>
          <w:color w:val="auto"/>
        </w:rPr>
        <w:t>San Chu Zi No. 1</w:t>
      </w:r>
      <w:r>
        <w:rPr>
          <w:rFonts w:ascii="Arial" w:cs="Arial" w:eastAsia="Arial" w:hAnsi="Arial"/>
          <w:sz w:val="17"/>
          <w:szCs w:val="17"/>
          <w:color w:val="auto"/>
        </w:rPr>
        <w:t>. On October 21, 2014, the Hainan No. 1 Intermediate People’s Court changed the caption of this case to</w:t>
      </w:r>
      <w:r>
        <w:rPr>
          <w:rFonts w:ascii="Arial" w:cs="Arial" w:eastAsia="Arial" w:hAnsi="Arial"/>
          <w:sz w:val="17"/>
          <w:szCs w:val="17"/>
          <w:i w:val="1"/>
          <w:iCs w:val="1"/>
          <w:color w:val="auto"/>
        </w:rPr>
        <w:t xml:space="preserve"> (2014) Hainan Yi Zhong Zhi Min Chu Zi No. 2</w:t>
      </w:r>
      <w:r>
        <w:rPr>
          <w:rFonts w:ascii="Arial" w:cs="Arial" w:eastAsia="Arial" w:hAnsi="Arial"/>
          <w:sz w:val="17"/>
          <w:szCs w:val="17"/>
          <w:color w:val="auto"/>
        </w:rPr>
        <w:t>. On November 18, 2014, the Hainan No. 1 Intermediate People’s Court held its first substantive hearing in the Hainan case. At the hearing, the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evidence, reviewed claims, and answered questions from the court. The Company is awaiting a decision from the Hainan No. 1 Intermediate People’s Court.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March 31, 2015 the Company had $2.8 million of restricted cash included in current assets and $1.2 million of restricted cash included in long-term assets. These amounts included in restricted cash primarily represent deposits to secure letters of credit for various supply contracts. These deposits are held in interest bearing accounts.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has implemented a defined contribution plan (the “Plan”) under Section 401(k) of the Internal Revenue Code. Any contributions made by the Company to the Plan are discretionary. The Company has a stock match program under which the Company matched, in the form of Company common stock, 50% of the first 6% of eligible contributions. The Company recorded expense of $0.4 million, $0.4 million, and $0.5 million, for the years ended March 31, 2015, 2014, and 2013, respectively, and recorded corresponding charges to additional paid-in capital related to this program.</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Tres Amigas LLC</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 made an investment in Tres Amigas, focused on providing the first common interconnection of America’s three power grids to help the country achieve its renewable energy goals and facilitate the smooth, reliable and efficient transfer of green power from region to region. The Company’s original investment in Tres Amigas was $5.4 million. As of March 31, 2015, the Company holds a 26% ownership interest in Tres Amigas.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20"/>
          </w:cols>
          <w:pgMar w:left="240" w:top="584" w:right="239" w:bottom="1440" w:gutter="0" w:footer="0" w:header="0"/>
        </w:sectPr>
      </w:pPr>
    </w:p>
    <w:bookmarkStart w:id="90" w:name="page91"/>
    <w:bookmarkEnd w:id="90"/>
    <w:p>
      <w:pPr>
        <w:jc w:val="both"/>
        <w:ind w:firstLine="518"/>
        <w:spacing w:after="0" w:line="257" w:lineRule="auto"/>
        <w:rPr>
          <w:sz w:val="20"/>
          <w:szCs w:val="20"/>
          <w:color w:val="auto"/>
        </w:rPr>
      </w:pPr>
      <w:r>
        <w:rPr>
          <w:rFonts w:ascii="Arial" w:cs="Arial" w:eastAsia="Arial" w:hAnsi="Arial"/>
          <w:sz w:val="18"/>
          <w:szCs w:val="18"/>
          <w:color w:val="auto"/>
        </w:rPr>
        <w:t>The Company has determined that Tres Amigas is a variable interest entity (“VIE”) and that the Company is not the primary beneficiary of the VIE. Therefore, the Company has not consolidated Tres Amigas as of March 31, 2015. The investment is carried at acquisition cost, plus the Company’s equity in undistributed earnings or losses. The Company’s maximum exposure to loss is limited to the Company’s recorded investment in this VIE. The Company’s investment in Tres Amigas is included in other assets on the consolidated balance sheet and the equity in undistributed losses of Tres Amigas is included in other expense, net, on the 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ind w:left="500"/>
              <w:spacing w:after="0"/>
              <w:rPr>
                <w:sz w:val="20"/>
                <w:szCs w:val="20"/>
                <w:color w:val="auto"/>
              </w:rPr>
            </w:pPr>
            <w:r>
              <w:rPr>
                <w:rFonts w:ascii="Arial" w:cs="Arial" w:eastAsia="Arial" w:hAnsi="Arial"/>
                <w:sz w:val="18"/>
                <w:szCs w:val="18"/>
                <w:color w:val="auto"/>
              </w:rPr>
              <w:t>The net investment activity for the year ended March 31, 2015 is as follows (in thousands):</w:t>
            </w: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Balance at April 1, 2014</w:t>
            </w: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Minority interest in net losses</w:t>
            </w:r>
          </w:p>
        </w:tc>
        <w:tc>
          <w:tcPr>
            <w:tcW w:w="1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2015</w:t>
            </w:r>
          </w:p>
        </w:tc>
        <w:tc>
          <w:tcPr>
            <w:tcW w:w="1100" w:type="dxa"/>
            <w:vAlign w:val="bottom"/>
            <w:tcBorders>
              <w:top w:val="single" w:sz="8" w:color="auto"/>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acquired (through its Austrian subsidiary), a minority ownership position in Blade Dynamics, a designer and manufacturer of advanced wind turbine blades based on proprietary materials and structural technologies. The Company’s original investment was for $8.0 million in cash. As of March 31, 2015, the Company holds a 12% ownership interest in Blade Dynamics.</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investment is carried at the acquisition cost, plus the Company’s equity in undistributed earnings or losses, through December 1, 2012, the date which the company no longer reported undistributed earnings or losses. The Company’s investment in Blade Dynamics is included in other assets on the consolidated balance sheet and the equity in undistributed losses of Blade Dynamics is included in other expense, net, on the consolidated statements of operations.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year ended March 31, 2014, the Company determined that as a result of its efforts to sell its investment in Blade Dynamics, certain indicators of impairment existed which required the Company to perform further analysis. As a result of this analysis, the Company recorded an impairment charge for approximately $1.3 million.</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year ended March 31, 2015, the Company determined that as a result of dilutive financing which resulted in the Company losing certain of its shareholder rights, as well as certain operational issues and adverse changes to the potential sale scenarios previously considered, its investment in Blade Dynamics was no longer recoverable and therefore recorded an impairment charge of $3.5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ind w:left="500"/>
              <w:spacing w:after="0"/>
              <w:rPr>
                <w:sz w:val="20"/>
                <w:szCs w:val="20"/>
                <w:color w:val="auto"/>
              </w:rPr>
            </w:pPr>
            <w:r>
              <w:rPr>
                <w:rFonts w:ascii="Arial" w:cs="Arial" w:eastAsia="Arial" w:hAnsi="Arial"/>
                <w:sz w:val="18"/>
                <w:szCs w:val="18"/>
                <w:color w:val="auto"/>
              </w:rPr>
              <w:t>The net investment activity for the year ended March 31, 2015 is as follows (in thousands):</w:t>
            </w: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60" w:type="dxa"/>
            <w:vAlign w:val="bottom"/>
            <w:shd w:val="clear" w:color="auto" w:fill="CFF0FC"/>
          </w:tcPr>
          <w:p>
            <w:pPr>
              <w:spacing w:after="0"/>
              <w:rPr>
                <w:sz w:val="20"/>
                <w:szCs w:val="20"/>
                <w:color w:val="auto"/>
              </w:rPr>
            </w:pPr>
            <w:r>
              <w:rPr>
                <w:rFonts w:ascii="Arial" w:cs="Arial" w:eastAsia="Arial" w:hAnsi="Arial"/>
                <w:sz w:val="18"/>
                <w:szCs w:val="18"/>
                <w:color w:val="auto"/>
              </w:rPr>
              <w:t>Balance at April 1, 2014</w:t>
            </w:r>
          </w:p>
        </w:tc>
        <w:tc>
          <w:tcPr>
            <w:tcW w:w="1060" w:type="dxa"/>
            <w:vAlign w:val="bottom"/>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60" w:type="dxa"/>
            <w:vAlign w:val="bottom"/>
          </w:tcPr>
          <w:p>
            <w:pPr>
              <w:ind w:left="240"/>
              <w:spacing w:after="0"/>
              <w:rPr>
                <w:sz w:val="20"/>
                <w:szCs w:val="20"/>
                <w:color w:val="auto"/>
              </w:rPr>
            </w:pPr>
            <w:r>
              <w:rPr>
                <w:rFonts w:ascii="Arial" w:cs="Arial" w:eastAsia="Arial" w:hAnsi="Arial"/>
                <w:sz w:val="18"/>
                <w:szCs w:val="18"/>
                <w:color w:val="auto"/>
              </w:rPr>
              <w:t>Net foreign exchange rate impact</w:t>
            </w:r>
          </w:p>
        </w:tc>
        <w:tc>
          <w:tcPr>
            <w:tcW w:w="106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w:t>
            </w:r>
          </w:p>
        </w:tc>
        <w:tc>
          <w:tcPr>
            <w:tcW w:w="10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Balance at March 31, 2015</w:t>
            </w: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w:t>
      </w:r>
      <w:r>
        <w:rPr>
          <w:rFonts w:ascii="Arial" w:cs="Arial" w:eastAsia="Arial" w:hAnsi="Arial"/>
          <w:sz w:val="18"/>
          <w:szCs w:val="18"/>
          <w:color w:val="auto"/>
        </w:rPr>
        <w:t>(“ASC 420”) and ASC Topic 712,</w:t>
      </w:r>
      <w:r>
        <w:rPr>
          <w:rFonts w:ascii="Arial" w:cs="Arial" w:eastAsia="Arial" w:hAnsi="Arial"/>
          <w:sz w:val="18"/>
          <w:szCs w:val="18"/>
          <w:i w:val="1"/>
          <w:iCs w:val="1"/>
          <w:color w:val="auto"/>
        </w:rPr>
        <w:t xml:space="preserve"> Compensation—Nonretirement Postemployment Benefits </w:t>
      </w:r>
      <w:r>
        <w:rPr>
          <w:rFonts w:ascii="Arial" w:cs="Arial" w:eastAsia="Arial" w:hAnsi="Arial"/>
          <w:sz w:val="18"/>
          <w:szCs w:val="18"/>
          <w:color w:val="auto"/>
        </w:rPr>
        <w:t>(“ASC 712”). In accounting for these obligations,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584" w:right="239" w:bottom="1440" w:gutter="0" w:footer="0" w:header="0"/>
        </w:sectPr>
      </w:pPr>
    </w:p>
    <w:bookmarkStart w:id="91" w:name="page92"/>
    <w:bookmarkEnd w:id="91"/>
    <w:p>
      <w:pPr>
        <w:jc w:val="both"/>
        <w:ind w:firstLine="518"/>
        <w:spacing w:after="0" w:line="287" w:lineRule="auto"/>
        <w:rPr>
          <w:sz w:val="20"/>
          <w:szCs w:val="20"/>
          <w:color w:val="auto"/>
        </w:rPr>
      </w:pPr>
      <w:r>
        <w:rPr>
          <w:rFonts w:ascii="Arial" w:cs="Arial" w:eastAsia="Arial" w:hAnsi="Arial"/>
          <w:sz w:val="16"/>
          <w:szCs w:val="16"/>
          <w:color w:val="auto"/>
        </w:rPr>
        <w:t>During the years ended March 31, 2015, 2014 and 2013, the Company undertook restructuring activities, approved by the Board of Directors, in order to reorganize its global operations, streamline various functions of the business, and reduce its global workforce to better reflect the demand for its products. During the year ended March 31, 2014, the Company undertook a plan to consolidate its Grid manufacturing activities in its Devens, Massachusetts facility and close its facility in Middleton, Wisconsin which was completed during the year ended March 31, 2015. In addition, the Company established a new Wind manufacturing facility in Romania and as a result reduced the headcount in its operation in China to a level necessary to support demand from its Chinese customers. The Company also undertook a workforce reduction in July 2013, reducing its workforce by approximately 7%, impacting primarily selling, engineering and general and administrative functions. During the year ended March 31, 2013, the Company consolidated certain of its business operations to reduce overall facility costs. The Company recorded restructuring charges for severance and other costs of approximately $1.9 million, $1.7 million, and $2.5 million during the years ended March 31, 2015, 2014, and 2013 respectively. The restructuring charge for the fiscal year ended March 31, 2015 primarily represents severance, relocation and lease termination costs associated with closure of the Company’s Middleton, WI facility. From April 1, 2011 through March 31, 2015, the Company’s various restructuring activities resulted in a substantial reduction of its global workforce. Remaining unpaid amounts under these restructuring activities are expected to be paid by August 31, 2015.</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restructuring charges and cash payments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Severance pay</w:t>
            </w:r>
          </w:p>
        </w:tc>
        <w:tc>
          <w:tcPr>
            <w:tcW w:w="160" w:type="dxa"/>
            <w:vAlign w:val="bottom"/>
          </w:tcPr>
          <w:p>
            <w:pPr>
              <w:spacing w:after="0"/>
              <w:rPr>
                <w:sz w:val="16"/>
                <w:szCs w:val="16"/>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Facility exit and</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and benefits</w:t>
            </w:r>
          </w:p>
        </w:tc>
        <w:tc>
          <w:tcPr>
            <w:tcW w:w="160" w:type="dxa"/>
            <w:vAlign w:val="bottom"/>
          </w:tcPr>
          <w:p>
            <w:pPr>
              <w:spacing w:after="0"/>
              <w:rPr>
                <w:sz w:val="19"/>
                <w:szCs w:val="19"/>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Relocation costs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r>
      <w:tr>
        <w:trPr>
          <w:trHeight w:val="26"/>
        </w:trPr>
        <w:tc>
          <w:tcPr>
            <w:tcW w:w="58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Accrued restructuring balance at April 1, 2013</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Charges to operations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(873)</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Non-cash/miscellaneous reductions</w:t>
            </w:r>
          </w:p>
        </w:tc>
        <w:tc>
          <w:tcPr>
            <w:tcW w:w="200" w:type="dxa"/>
            <w:vAlign w:val="bottom"/>
          </w:tcPr>
          <w:p>
            <w:pPr>
              <w:spacing w:after="0"/>
              <w:rPr>
                <w:sz w:val="19"/>
                <w:szCs w:val="19"/>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restructuring balance at March 31, 2014</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Charges to operations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1,284</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(1,284)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(2,566)</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Accrued restructuring balance at March 31, 2015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restructuring charges discussed above are included within restructuring and impairments in the Company’s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includes accrued restructuring within accounts payable and accrued expenses in the consolidated balance sheets.</w:t>
      </w:r>
    </w:p>
    <w:p>
      <w:pPr>
        <w:spacing w:after="0" w:line="20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b w:val="1"/>
          <w:bCs w:val="1"/>
          <w:color w:val="auto"/>
        </w:rPr>
      </w:pPr>
      <w:r>
        <w:rPr>
          <w:rFonts w:ascii="Arial" w:cs="Arial" w:eastAsia="Arial" w:hAnsi="Arial"/>
          <w:sz w:val="18"/>
          <w:szCs w:val="18"/>
          <w:b w:val="1"/>
          <w:bCs w:val="1"/>
          <w:color w:val="auto"/>
        </w:rPr>
        <w:t>Business Segment and Geographic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reports its financial results in two reportable business segments: Wind and Grid.</w:t>
      </w:r>
    </w:p>
    <w:p>
      <w:pPr>
        <w:spacing w:after="0" w:line="22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Through the Company’s Windtec Solutions, the Wind business segment enables manufacturers to field wind turbines with exceptional power output, reliability and affordability.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MWs and higher. The Company provides a broad range of power electronics and software-based control systems that are highly integrated and designed for optimized performance, efficiency, and grid compatibility.</w:t>
      </w:r>
    </w:p>
    <w:p>
      <w:pPr>
        <w:spacing w:after="0" w:line="17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Through the Company’s Gridtec Solutions, the Grid business segment enables electric utilities and renewable energy project developers to connect, transmit and distribute power with exceptional efficiency, reliability and affordability.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584" w:right="23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For the Years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51,307</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55,608</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Grid</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19,223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28,509</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70,530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84,117</w:t>
            </w: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5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For the Years Ended 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Wind</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5"/>
              </w:rPr>
              <w:t>(14,321)</w:t>
            </w:r>
          </w:p>
        </w:tc>
        <w:tc>
          <w:tcPr>
            <w:tcW w:w="7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FF0FC"/>
          </w:tcPr>
          <w:p>
            <w:pPr>
              <w:jc w:val="right"/>
              <w:ind w:right="190"/>
              <w:spacing w:after="0"/>
              <w:rPr>
                <w:sz w:val="20"/>
                <w:szCs w:val="20"/>
                <w:color w:val="auto"/>
              </w:rPr>
            </w:pPr>
            <w:r>
              <w:rPr>
                <w:rFonts w:ascii="Arial" w:cs="Arial" w:eastAsia="Arial" w:hAnsi="Arial"/>
                <w:sz w:val="18"/>
                <w:szCs w:val="18"/>
                <w:color w:val="auto"/>
              </w:rPr>
              <w:t>(5,213)</w:t>
            </w: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(16,098)</w:t>
            </w:r>
          </w:p>
        </w:tc>
        <w:tc>
          <w:tcPr>
            <w:tcW w:w="0" w:type="dxa"/>
            <w:vAlign w:val="bottom"/>
          </w:tcPr>
          <w:p>
            <w:pPr>
              <w:spacing w:after="0"/>
              <w:rPr>
                <w:sz w:val="1"/>
                <w:szCs w:val="1"/>
                <w:color w:val="auto"/>
              </w:rPr>
            </w:pPr>
          </w:p>
        </w:tc>
      </w:tr>
      <w:tr>
        <w:trPr>
          <w:trHeight w:val="230"/>
        </w:trPr>
        <w:tc>
          <w:tcPr>
            <w:tcW w:w="5800" w:type="dxa"/>
            <w:vAlign w:val="bottom"/>
          </w:tcPr>
          <w:p>
            <w:pPr>
              <w:ind w:left="380"/>
              <w:spacing w:after="0"/>
              <w:rPr>
                <w:sz w:val="20"/>
                <w:szCs w:val="20"/>
                <w:color w:val="auto"/>
              </w:rPr>
            </w:pPr>
            <w:r>
              <w:rPr>
                <w:rFonts w:ascii="Arial" w:cs="Arial" w:eastAsia="Arial" w:hAnsi="Arial"/>
                <w:sz w:val="18"/>
                <w:szCs w:val="18"/>
                <w:color w:val="auto"/>
              </w:rPr>
              <w:t>Grid</w:t>
            </w:r>
          </w:p>
        </w:tc>
        <w:tc>
          <w:tcPr>
            <w:tcW w:w="9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(26,890)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4"/>
          </w:tcPr>
          <w:p>
            <w:pPr>
              <w:jc w:val="right"/>
              <w:ind w:right="190"/>
              <w:spacing w:after="0"/>
              <w:rPr>
                <w:sz w:val="20"/>
                <w:szCs w:val="20"/>
                <w:color w:val="auto"/>
              </w:rPr>
            </w:pPr>
            <w:r>
              <w:rPr>
                <w:rFonts w:ascii="Arial" w:cs="Arial" w:eastAsia="Arial" w:hAnsi="Arial"/>
                <w:sz w:val="18"/>
                <w:szCs w:val="18"/>
                <w:color w:val="auto"/>
              </w:rPr>
              <w:t>(22,523)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Unallocated corporate expenses</w:t>
            </w:r>
          </w:p>
        </w:tc>
        <w:tc>
          <w:tcPr>
            <w:tcW w:w="9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5"/>
              </w:rPr>
              <w:t>(11,306)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80" w:type="dxa"/>
            <w:vAlign w:val="bottom"/>
            <w:gridSpan w:val="4"/>
            <w:shd w:val="clear" w:color="auto" w:fill="CFF0FC"/>
          </w:tcPr>
          <w:p>
            <w:pPr>
              <w:jc w:val="right"/>
              <w:ind w:right="190"/>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(17,828)</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(52,517)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(41,429)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520"/>
              <w:spacing w:after="0"/>
              <w:rPr>
                <w:sz w:val="20"/>
                <w:szCs w:val="20"/>
                <w:color w:val="auto"/>
              </w:rPr>
            </w:pPr>
            <w:r>
              <w:rPr>
                <w:rFonts w:ascii="Arial" w:cs="Arial" w:eastAsia="Arial" w:hAnsi="Arial"/>
                <w:sz w:val="18"/>
                <w:szCs w:val="18"/>
                <w:color w:val="auto"/>
              </w:rPr>
              <w:t>Total business segments assets are as follows (in thousands):</w:t>
            </w: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7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800" w:type="dxa"/>
            <w:vAlign w:val="bottom"/>
            <w:vMerge w:val="restart"/>
          </w:tcPr>
          <w:p>
            <w:pPr>
              <w:spacing w:after="0"/>
              <w:rPr>
                <w:sz w:val="20"/>
                <w:szCs w:val="20"/>
                <w:color w:val="auto"/>
              </w:rPr>
            </w:pPr>
            <w:r>
              <w:rPr>
                <w:rFonts w:ascii="Arial" w:cs="Arial" w:eastAsia="Arial" w:hAnsi="Arial"/>
                <w:sz w:val="18"/>
                <w:szCs w:val="18"/>
                <w:color w:val="auto"/>
              </w:rPr>
              <w:t>Wind</w:t>
            </w:r>
          </w:p>
        </w:tc>
        <w:tc>
          <w:tcPr>
            <w:tcW w:w="9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0"/>
              </w:rPr>
              <w:t>41,947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Grid</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0"/>
              </w:rPr>
              <w:t>42,482</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assets</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0"/>
              </w:rPr>
              <w:t>49,396</w:t>
            </w:r>
          </w:p>
        </w:tc>
        <w:tc>
          <w:tcPr>
            <w:tcW w:w="4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9"/>
              </w:rPr>
              <w:t>133,825</w:t>
            </w:r>
          </w:p>
        </w:tc>
        <w:tc>
          <w:tcPr>
            <w:tcW w:w="4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Unallocated corporate expenses primarily consist of stock-based compensation expense of $5.9 million, $10.7 million, and $8.1 million for the years ended March 31, 2015, 2014 and 2013, respectively, and restructuring and impairment charges of $5.4 million, $3.0 million, and $7.9 million for the years ended March 31, 2015, 2014 and 2013, respectively. For the year ended March 31, 2013, unallocated corporate expenses also included a loss contingency of $1.8 million.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584" w:right="239" w:bottom="1440" w:gutter="0" w:footer="0" w:header="0"/>
        </w:sectPr>
      </w:pPr>
    </w:p>
    <w:bookmarkStart w:id="93" w:name="page94"/>
    <w:bookmarkEnd w:id="93"/>
    <w:p>
      <w:pPr>
        <w:ind w:left="520"/>
        <w:spacing w:after="0"/>
        <w:rPr>
          <w:sz w:val="20"/>
          <w:szCs w:val="20"/>
          <w:color w:val="auto"/>
        </w:rPr>
      </w:pPr>
      <w:r>
        <w:rPr>
          <w:rFonts w:ascii="Arial" w:cs="Arial" w:eastAsia="Arial" w:hAnsi="Arial"/>
          <w:sz w:val="18"/>
          <w:szCs w:val="18"/>
          <w:color w:val="auto"/>
        </w:rPr>
        <w:t>Geographic information about revenue, based on shipments to customers by region,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9"/>
              </w:rPr>
              <w:t>For the Years Ended March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vMerge w:val="restart"/>
          </w:tcPr>
          <w:p>
            <w:pPr>
              <w:spacing w:after="0"/>
              <w:rPr>
                <w:sz w:val="20"/>
                <w:szCs w:val="20"/>
                <w:color w:val="auto"/>
              </w:rPr>
            </w:pPr>
            <w:r>
              <w:rPr>
                <w:rFonts w:ascii="Arial" w:cs="Arial" w:eastAsia="Arial" w:hAnsi="Arial"/>
                <w:sz w:val="18"/>
                <w:szCs w:val="18"/>
                <w:color w:val="auto"/>
              </w:rPr>
              <w:t>U.S.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9,820</w:t>
            </w:r>
          </w:p>
        </w:tc>
        <w:tc>
          <w:tcPr>
            <w:tcW w:w="4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2,905</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10,410</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24,748</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Korea</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3,506</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India</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39,314</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26,384</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Australia</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4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70,530</w:t>
            </w:r>
          </w:p>
        </w:tc>
        <w:tc>
          <w:tcPr>
            <w:tcW w:w="4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84,117</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In the year ended March 31, 2015, 2014 and 2013, 86%, 87%, and 85% of the Company’s revenues, respectively, were recognized from sales outside the United States. The Company maintains operations in Austria, China and the United States and sales and service support centers around the world.</w:t>
      </w:r>
    </w:p>
    <w:p>
      <w:pPr>
        <w:spacing w:after="0" w:line="12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the year ended March 31, 2015, Inox, accounted for approximately 56%, of the Company’s total revenues. In the year ended March 31, 2014, Inox and Beijing JINGCHENG New Energy (“JCNE”) accounted for approximately 31% and 18%, respectively, of the Company’s total revenues. In the year ended March 31, 2013, Inox and JCNE accounted for approximately 19% and 13%, respectively, of the Company’s total revenues.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vMerge w:val="restart"/>
          </w:tcPr>
          <w:p>
            <w:pPr>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7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54,673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56,097</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18. Quarterly Financial Data (Unaudited)</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b w:val="1"/>
                <w:bCs w:val="1"/>
                <w:color w:val="auto"/>
                <w:w w:val="97"/>
              </w:rPr>
              <w:t>For the year ended March 31, 2015:</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5"/>
                <w:szCs w:val="15"/>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87"/>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21,250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(12,667)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(26,400)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(7,735)</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(13,517)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(25,423)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w w:val="98"/>
              </w:rPr>
              <w:t>(6,353)</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loss per common share—basic</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(0.72)</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share—diluted</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9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b w:val="1"/>
                <w:bCs w:val="1"/>
                <w:color w:val="auto"/>
                <w:w w:val="97"/>
              </w:rPr>
              <w:t>For the year ended March 31, 2014:</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5"/>
                <w:szCs w:val="15"/>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87"/>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20,563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(8,850)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(11,028)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(6,675)</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(10,513)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(14,623)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w w:val="98"/>
              </w:rPr>
              <w:t>(8,417)</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loss per common share—basic</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share—diluted</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368"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19. Subsequent Events</w:t>
      </w:r>
    </w:p>
    <w:p>
      <w:pPr>
        <w:spacing w:after="0" w:line="27" w:lineRule="exact"/>
        <w:rPr>
          <w:sz w:val="20"/>
          <w:szCs w:val="20"/>
          <w:color w:val="auto"/>
        </w:rPr>
      </w:pPr>
    </w:p>
    <w:p>
      <w:pPr>
        <w:jc w:val="both"/>
        <w:ind w:right="200" w:firstLine="295"/>
        <w:spacing w:after="0" w:line="265" w:lineRule="auto"/>
        <w:rPr>
          <w:sz w:val="20"/>
          <w:szCs w:val="20"/>
          <w:color w:val="auto"/>
        </w:rPr>
      </w:pPr>
      <w:r>
        <w:rPr>
          <w:rFonts w:ascii="Arial" w:cs="Arial" w:eastAsia="Arial" w:hAnsi="Arial"/>
          <w:sz w:val="17"/>
          <w:szCs w:val="17"/>
          <w:color w:val="auto"/>
        </w:rPr>
        <w:t>On April 24, 2015, the Company entered into an underwriting agreement with Cowen and Company, LLC, as representative of the several underwriters named therein, relating to the issuance and sale (the "Offering") of 4,000,000 shares of the Company's common stock at a public offering price of $6.00 per share. The net proceeds to the Company from the Offering were approximately $22.3 million, after deducting underwriting discounts and commissions and estimated offering expenses payable by the Company. The Offering closed on April 29, 2015.</w:t>
      </w:r>
    </w:p>
    <w:p>
      <w:pPr>
        <w:spacing w:after="0" w:line="1" w:lineRule="exact"/>
        <w:rPr>
          <w:sz w:val="20"/>
          <w:szCs w:val="20"/>
          <w:color w:val="auto"/>
        </w:rPr>
      </w:pPr>
    </w:p>
    <w:p>
      <w:pPr>
        <w:jc w:val="both"/>
        <w:ind w:right="220" w:firstLine="295"/>
        <w:spacing w:after="0" w:line="255" w:lineRule="auto"/>
        <w:rPr>
          <w:sz w:val="20"/>
          <w:szCs w:val="20"/>
          <w:color w:val="auto"/>
        </w:rPr>
      </w:pPr>
      <w:r>
        <w:rPr>
          <w:rFonts w:ascii="Arial" w:cs="Arial" w:eastAsia="Arial" w:hAnsi="Arial"/>
          <w:sz w:val="18"/>
          <w:szCs w:val="18"/>
          <w:color w:val="auto"/>
        </w:rPr>
        <w:t>The Offering was made pursuant to the Company's shelf registration statement on Form S-3 (Registration Statement No. 333-198851) previously filed with and declared effective by the Securities and Exchange Commission (the "SEC") and a prospectus supplement and accompanying prospectus filed with the SEC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Recent Accounting Pronouncements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May 2014, the FASB and the International Accounting Standards Board (IASB) issued ASU 2014-09, </w:t>
      </w:r>
      <w:r>
        <w:rPr>
          <w:rFonts w:ascii="Arial" w:cs="Arial" w:eastAsia="Arial" w:hAnsi="Arial"/>
          <w:sz w:val="17"/>
          <w:szCs w:val="17"/>
          <w:i w:val="1"/>
          <w:iCs w:val="1"/>
          <w:color w:val="auto"/>
        </w:rPr>
        <w:t>ASU 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w:t>
      </w:r>
      <w:r>
        <w:rPr>
          <w:rFonts w:ascii="Arial" w:cs="Arial" w:eastAsia="Arial" w:hAnsi="Arial"/>
          <w:sz w:val="17"/>
          <w:szCs w:val="17"/>
          <w:color w:val="auto"/>
        </w:rPr>
        <w:t>The guidance substantially converges final standards on revenue recognition between the FASB and IASB providing a framework on addressing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issues and, upon its effective date, replaces almost all existing revenue recognition guidance, including industry-specific guidance, in current U.S. generally accepted accounting principles. The ASU is effective for annual reporting periods beginning after December 15, 2016. The FASB is currently considering a proposed one year extension of the effective date to December 15, 2017. The Company is currently evaluating the impact of adopting ASU 2014-09 to determine the impact, if any, it may have on its current practices.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In July 2014, the FASB issued ASU 2014-12, </w:t>
      </w:r>
      <w:r>
        <w:rPr>
          <w:rFonts w:ascii="Arial" w:cs="Arial" w:eastAsia="Arial" w:hAnsi="Arial"/>
          <w:sz w:val="17"/>
          <w:szCs w:val="17"/>
          <w:i w:val="1"/>
          <w:iCs w:val="1"/>
          <w:color w:val="auto"/>
        </w:rPr>
        <w:t>Compensation – Stock Compensation (Topic 718): Accounting for Share Based Payments When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Terms of an Award Provide that a Performance Target could be Achieved after the Requisite Service Period. </w:t>
      </w:r>
      <w:r>
        <w:rPr>
          <w:rFonts w:ascii="Arial" w:cs="Arial" w:eastAsia="Arial" w:hAnsi="Arial"/>
          <w:sz w:val="17"/>
          <w:szCs w:val="17"/>
          <w:color w:val="auto"/>
        </w:rPr>
        <w:t>To account for such awards, a reporting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should apply existing guidance in FASB Accounting Standards Codification </w:t>
      </w:r>
      <w:r>
        <w:rPr>
          <w:rFonts w:ascii="Arial" w:cs="Arial" w:eastAsia="Arial" w:hAnsi="Arial"/>
          <w:sz w:val="17"/>
          <w:szCs w:val="17"/>
          <w:i w:val="1"/>
          <w:iCs w:val="1"/>
          <w:color w:val="auto"/>
        </w:rPr>
        <w:t>Topic 718, Compensation – Stock Compensation</w:t>
      </w:r>
      <w:r>
        <w:rPr>
          <w:rFonts w:ascii="Arial" w:cs="Arial" w:eastAsia="Arial" w:hAnsi="Arial"/>
          <w:sz w:val="17"/>
          <w:szCs w:val="17"/>
          <w:color w:val="auto"/>
        </w:rPr>
        <w:t>, as it relates to awards with performance conditions that affect vesting. As such, the performance target should not be reflected in estimating the grant-date fair value of the award. This ASU is effective for annual reporting periods and interim periods, within those annual periods beginning after December 15, 2015. The Company is currently evaluating the impact of adopting ASU 2014-12 to determine the impact, if any, it may have on its current practices.</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 xml:space="preserve">In August 2014, the FASB issued ASU 2014-13, </w:t>
      </w:r>
      <w:r>
        <w:rPr>
          <w:rFonts w:ascii="Arial" w:cs="Arial" w:eastAsia="Arial" w:hAnsi="Arial"/>
          <w:sz w:val="17"/>
          <w:szCs w:val="17"/>
          <w:i w:val="1"/>
          <w:iCs w:val="1"/>
          <w:color w:val="auto"/>
        </w:rPr>
        <w:t>Consolidation (Topic 810): Measuring the Financial Assets and Financial Liabilities of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Consolidated Collateralized Financing Entity. </w:t>
      </w:r>
      <w:r>
        <w:rPr>
          <w:rFonts w:ascii="Arial" w:cs="Arial" w:eastAsia="Arial" w:hAnsi="Arial"/>
          <w:sz w:val="17"/>
          <w:szCs w:val="17"/>
          <w:color w:val="auto"/>
        </w:rPr>
        <w:t>The new standard applies to reporting entities that are required to consolidate a collaterized financing entity</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variable interest entities subtopic 810-10. This ASU is effective for annual reporting periods ending after December 15, 2016, and interim periods within annual periods beginning after December 15, 2016. The Company is currently evaluating the impact of adopting ASU 2014-13 to determine the impact, but currently does not believe there will be an impact on its consolidated results of operations, financial condition, or cash flow.</w:t>
      </w:r>
    </w:p>
    <w:p>
      <w:pPr>
        <w:spacing w:after="0" w:line="173"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Uncertainties About an Entity’s Ability to Continue as a Going Concern. </w:t>
      </w:r>
      <w:r>
        <w:rPr>
          <w:rFonts w:ascii="Arial" w:cs="Arial" w:eastAsia="Arial" w:hAnsi="Arial"/>
          <w:sz w:val="16"/>
          <w:szCs w:val="16"/>
          <w:color w:val="auto"/>
        </w:rPr>
        <w:t>The new standard explicitly requires the assessment at interim and annual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provides management with its own disclosure guidance. This ASU is effective for annual reporting periods and interim periods, within those annual periods ending after December 15, 2016. The Company is currently evaluating the impact of ASU 2014-15, if any, may have on its current practices.</w:t>
      </w:r>
    </w:p>
    <w:p>
      <w:pPr>
        <w:spacing w:after="0" w:line="154"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January 2015, the FASB issued ASU 2015-01 </w:t>
      </w:r>
      <w:r>
        <w:rPr>
          <w:rFonts w:ascii="Arial" w:cs="Arial" w:eastAsia="Arial" w:hAnsi="Arial"/>
          <w:sz w:val="18"/>
          <w:szCs w:val="18"/>
          <w:i w:val="1"/>
          <w:iCs w:val="1"/>
          <w:color w:val="auto"/>
        </w:rPr>
        <w:t>Income Statement—Extraordinary and Unusual Items (Subtopic 225-20): Simplifying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Presentation by Eliminating the Concept of Extraordinary Items. </w:t>
      </w:r>
      <w:r>
        <w:rPr>
          <w:rFonts w:ascii="Arial" w:cs="Arial" w:eastAsia="Arial" w:hAnsi="Arial"/>
          <w:sz w:val="18"/>
          <w:szCs w:val="18"/>
          <w:color w:val="auto"/>
        </w:rPr>
        <w:t>The amendments in ASU 2015-01 eliminate from U.S. GAAP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items. Subtopic 225-20, Income Statement – Extraordinary and Unusual Items, required that an entity separately classify, present, and disclose extraordinary events and transactions. This ASU is effective for annual reporting periods and interim periods, within those annual periods beginning after December 15, 2015. The Company is currently evaluating the impact of adopting ASU 2015-01, but currently does not believe there will be an impact on its consolidated results of operations, financial condition, or cash flow.</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xml:space="preserve"> The amendments in ASU 2015-02 updated the process that a reporting entity must follow to determine whether it should consolidate certain types of legal entities. This ASU is effective for annual reporting periods beginning after December 15, 2016, and for interim periods within fiscal years beginning after December 15, 2017. The Company is currently evaluating the impact of adopting ASU 2015-02 to determine the impact, but currently does not believe there will be an impact on its consolidated results of operations, financial condition, or cash flow.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420"/>
          </w:cols>
          <w:pgMar w:left="240" w:top="364" w:right="239" w:bottom="1440" w:gutter="0" w:footer="0" w:header="0"/>
        </w:sectPr>
      </w:pPr>
    </w:p>
    <w:bookmarkStart w:id="95" w:name="page96"/>
    <w:bookmarkEnd w:id="95"/>
    <w:p>
      <w:pPr>
        <w:jc w:val="both"/>
        <w:ind w:firstLine="518"/>
        <w:spacing w:after="0" w:line="297"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Interest—Imputation of Interest (Subtopic 835-30):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Costs. </w:t>
      </w:r>
      <w:r>
        <w:rPr>
          <w:rFonts w:ascii="Arial" w:cs="Arial" w:eastAsia="Arial" w:hAnsi="Arial"/>
          <w:sz w:val="16"/>
          <w:szCs w:val="16"/>
          <w:color w:val="auto"/>
        </w:rPr>
        <w:t>The amendments in ASU 2015-03 require an entity to present debt issuance costs on the balance sheet as a direct deduction from the related debt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as opposed to an asset. Amortization of the costs will continue to be reported as interest expense. This ASU is effective for annual reporting periods beginning after December 15, 2015, and interim periods within those fiscal years. The Company is currently evaluating the impact of adopting ASU 2015-03 to determine the impact, but currently does not believe there will be an impact on its consolidated results of operations, financial condition, or cash flow.</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420"/>
          </w:cols>
          <w:pgMar w:left="240" w:top="584" w:right="239" w:bottom="1440" w:gutter="0" w:footer="0" w:header="0"/>
        </w:sectPr>
      </w:pPr>
    </w:p>
    <w:bookmarkStart w:id="96" w:name="page97"/>
    <w:bookmarkEnd w:id="96"/>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3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information required by this Item 9 was previously reported in Item 9 of our Annual Report on Form 10-K for the year ended March 31, 2014 that was filed with the Securities and Exchange Commission on June 5, 2014.</w:t>
      </w:r>
    </w:p>
    <w:p>
      <w:pPr>
        <w:spacing w:after="0" w:line="2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280" w:hanging="261"/>
        <w:spacing w:after="0"/>
        <w:tabs>
          <w:tab w:leader="none" w:pos="1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128" w:lineRule="exact"/>
        <w:rPr>
          <w:rFonts w:ascii="Arial" w:cs="Arial" w:eastAsia="Arial" w:hAnsi="Arial"/>
          <w:sz w:val="17"/>
          <w:szCs w:val="17"/>
          <w:color w:val="auto"/>
        </w:rPr>
      </w:pPr>
    </w:p>
    <w:p>
      <w:pPr>
        <w:jc w:val="both"/>
        <w:ind w:left="520" w:firstLine="499"/>
        <w:spacing w:after="0" w:line="264" w:lineRule="auto"/>
        <w:tabs>
          <w:tab w:leader="none" w:pos="12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73" w:lineRule="exact"/>
        <w:rPr>
          <w:rFonts w:ascii="Arial" w:cs="Arial" w:eastAsia="Arial" w:hAnsi="Arial"/>
          <w:sz w:val="18"/>
          <w:szCs w:val="18"/>
          <w:color w:val="auto"/>
        </w:rPr>
      </w:pPr>
    </w:p>
    <w:p>
      <w:pPr>
        <w:ind w:left="520" w:firstLine="499"/>
        <w:spacing w:after="0" w:line="277" w:lineRule="auto"/>
        <w:tabs>
          <w:tab w:leader="none" w:pos="12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Committee of Sponsoring Organizations of the Treadway Commission’s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Edition). Based on this evaluation, management concluded that our internal control over financial reporting was effective as of March 31, 2015.</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March 31, 2015 has been audited by McGladrey LLP, an independent registered public accounting firm, as stated in their report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2015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420"/>
          </w:cols>
          <w:pgMar w:left="240" w:top="56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response to this item is contained in part under the caption “Executive Officers” in Part I of this Annual Report on Form 10-K, and in part in our Proxy Statement for the Annual Meeting of Stockholders for the fiscal year ended March 31, 2015 (the “2015 Proxy Statement”) in the sections “Corporate Governance — Members of the Board,” “Other Matters — Section 16(a) Beneficial Ownership Reporting Compliance,” “Corporate Governance — Code of Business Conduct and Ethics,” “Corporate Governance —Board Committees” and “Corporate Governance — Board Committees — Audit Committee,” “Corporate Governance — Director Nomination Process”, “Corporate Governance — Board Determination of Independence”, which sections are incorporated herein by reference.</w:t>
      </w:r>
    </w:p>
    <w:p>
      <w:pPr>
        <w:spacing w:after="0" w:line="32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sections of the 2015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326" w:lineRule="exact"/>
        <w:rPr>
          <w:sz w:val="20"/>
          <w:szCs w:val="20"/>
          <w:color w:val="auto"/>
        </w:rPr>
      </w:pPr>
    </w:p>
    <w:p>
      <w:pPr>
        <w:ind w:left="1180" w:right="720" w:hanging="1174"/>
        <w:spacing w:after="0" w:line="277" w:lineRule="auto"/>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sections of the 2015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26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sections of the 2015 Proxy Statement titled “Certain Relationships and Related Transactions” and “Corporate Governance —Board Determination of Independence” and “Corporate Governance — Board Committees” are incorporated herein by reference.</w:t>
      </w:r>
    </w:p>
    <w:p>
      <w:pPr>
        <w:spacing w:after="0" w:line="30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section of the 2015 Proxy Statement titled “Ratification of Selection of Independent Registered Public Accounting Firm (Proposal 2)” is incorporated herein by reference.</w:t>
      </w:r>
    </w:p>
    <w:p>
      <w:pPr>
        <w:spacing w:after="0" w:line="38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Document filed as part of this Annual Report on Form 10-K: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Reports of Independent Registered Public Accounting Firm</w:t>
              </w:r>
            </w:hyperlink>
          </w:p>
        </w:tc>
        <w:tc>
          <w:tcPr>
            <w:tcW w:w="4980" w:type="dxa"/>
            <w:vAlign w:val="bottom"/>
            <w:gridSpan w:val="4"/>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4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Balance Sheets at March 31, 2015 and 2014</w:t>
              </w:r>
            </w:hyperlink>
          </w:p>
        </w:tc>
        <w:tc>
          <w:tcPr>
            <w:tcW w:w="5100" w:type="dxa"/>
            <w:vAlign w:val="bottom"/>
            <w:gridSpan w:val="5"/>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Operations for the years ended March 31, 2015, 2014 and 2013</w:t>
              </w:r>
            </w:hyperlink>
          </w:p>
        </w:tc>
        <w:tc>
          <w:tcPr>
            <w:tcW w:w="2680" w:type="dxa"/>
            <w:vAlign w:val="bottom"/>
            <w:gridSpan w:val="3"/>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3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Comprehensive Loss for the years ended March 31, 2015, 2014 and 2013</w:t>
              </w:r>
            </w:hyperlink>
          </w:p>
        </w:tc>
        <w:tc>
          <w:tcPr>
            <w:tcW w:w="196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928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Stockholders’ Equity for the years ended March 31, 2015, 2014 and 2013</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732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Consolidated Statements of Cash Flows for the years ended March 31, 2015, 2014 and 2013</w:t>
              </w:r>
            </w:hyperlink>
          </w:p>
        </w:tc>
        <w:tc>
          <w:tcPr>
            <w:tcW w:w="196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66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Notes to the Consolidated Financial Statements</w:t>
              </w:r>
            </w:hyperlink>
          </w:p>
        </w:tc>
        <w:tc>
          <w:tcPr>
            <w:tcW w:w="2640" w:type="dxa"/>
            <w:vAlign w:val="bottom"/>
            <w:gridSpan w:val="2"/>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Financial Statement Schedules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20"/>
          </w:cols>
          <w:pgMar w:left="240" w:top="364" w:right="239" w:bottom="1440" w:gutter="0" w:footer="0" w:header="0"/>
        </w:sectPr>
      </w:pPr>
    </w:p>
    <w:bookmarkStart w:id="98" w:name="page99"/>
    <w:bookmarkEnd w:id="98"/>
    <w:p>
      <w:pPr>
        <w:ind w:firstLine="518"/>
        <w:spacing w:after="0" w:line="308" w:lineRule="auto"/>
        <w:rPr>
          <w:sz w:val="20"/>
          <w:szCs w:val="20"/>
          <w:color w:val="auto"/>
        </w:rPr>
      </w:pPr>
      <w:r>
        <w:rPr>
          <w:rFonts w:ascii="Arial" w:cs="Arial" w:eastAsia="Arial" w:hAnsi="Arial"/>
          <w:sz w:val="17"/>
          <w:szCs w:val="17"/>
          <w:color w:val="auto"/>
        </w:rPr>
        <w:t>See “Schedule II — Valuation and Qualifying Accounts” for the fiscal years ended March 31, 2015, 2014 and 2013. All other schedules are omitted because they are not applicable, not required or the required information is shown in the consolidated financial statements or notes thereto.</w:t>
      </w:r>
    </w:p>
    <w:p>
      <w:pPr>
        <w:spacing w:after="0" w:line="255" w:lineRule="exact"/>
        <w:rPr>
          <w:sz w:val="20"/>
          <w:szCs w:val="20"/>
          <w:color w:val="auto"/>
        </w:rPr>
      </w:pPr>
    </w:p>
    <w:p>
      <w:pPr>
        <w:ind w:left="520" w:right="5300" w:firstLine="6"/>
        <w:spacing w:after="0" w:line="402"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 Required by Item 601 of Regulation S-K under the Exchange Act. See (b) Exhibits.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476" w:right="239" w:bottom="1440" w:gutter="0" w:footer="0" w:header="0"/>
        </w:sectPr>
      </w:pPr>
    </w:p>
    <w:bookmarkStart w:id="99" w:name="page100"/>
    <w:bookmarkEnd w:id="99"/>
    <w:p>
      <w:pPr>
        <w:ind w:left="42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Recoveries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Balance,</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Write-offs</w:t>
            </w: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6"/>
        </w:trPr>
        <w:tc>
          <w:tcPr>
            <w:tcW w:w="4800" w:type="dxa"/>
            <w:vAlign w:val="bottom"/>
            <w:vMerge w:val="restart"/>
          </w:tcPr>
          <w:p>
            <w:pPr>
              <w:spacing w:after="0"/>
              <w:rPr>
                <w:sz w:val="20"/>
                <w:szCs w:val="20"/>
                <w:color w:val="auto"/>
              </w:rPr>
            </w:pPr>
            <w:r>
              <w:rPr>
                <w:rFonts w:ascii="Arial" w:cs="Arial" w:eastAsia="Arial" w:hAnsi="Arial"/>
                <w:sz w:val="18"/>
                <w:szCs w:val="18"/>
                <w:color w:val="auto"/>
              </w:rPr>
              <w:t>Allowance for doubtful accounts receivable:</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Fiscal year ended March 31, 2014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Recoveries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Balance,</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Write-offs</w:t>
            </w: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6"/>
        </w:trPr>
        <w:tc>
          <w:tcPr>
            <w:tcW w:w="4800" w:type="dxa"/>
            <w:vAlign w:val="bottom"/>
            <w:vMerge w:val="restart"/>
          </w:tcPr>
          <w:p>
            <w:pPr>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282,824</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15,189</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(3,153)</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Fiscal year ended March 31, 2014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261,961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26,649</w:t>
            </w:r>
          </w:p>
        </w:tc>
        <w:tc>
          <w:tcPr>
            <w:tcW w:w="1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(5,786)</w:t>
            </w:r>
          </w:p>
        </w:tc>
        <w:tc>
          <w:tcPr>
            <w:tcW w:w="10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282,824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Fiscal year ended March 31, 2013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252,302</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21,333</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(11,674)</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420"/>
          </w:cols>
          <w:pgMar w:left="240" w:top="36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tabs>
          <w:tab w:leader="none" w:pos="8520" w:val="left"/>
        </w:tabs>
        <w:rPr>
          <w:sz w:val="20"/>
          <w:szCs w:val="20"/>
          <w:color w:val="auto"/>
        </w:rPr>
      </w:pPr>
      <w:r>
        <w:rPr>
          <w:rFonts w:ascii="Arial" w:cs="Arial" w:eastAsia="Arial" w:hAnsi="Arial"/>
          <w:sz w:val="18"/>
          <w:szCs w:val="18"/>
          <w:color w:val="auto"/>
        </w:rPr>
        <w:t>B</w:t>
      </w:r>
      <w:r>
        <w:rPr>
          <w:rFonts w:ascii="Arial" w:cs="Arial" w:eastAsia="Arial" w:hAnsi="Arial"/>
          <w:sz w:val="13"/>
          <w:szCs w:val="13"/>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D</w:t>
      </w:r>
      <w:r>
        <w:rPr>
          <w:rFonts w:ascii="Arial" w:cs="Arial" w:eastAsia="Arial" w:hAnsi="Arial"/>
          <w:sz w:val="12"/>
          <w:szCs w:val="12"/>
          <w:color w:val="auto"/>
        </w:rPr>
        <w:t>ANIEL</w:t>
      </w:r>
      <w:r>
        <w:rPr>
          <w:rFonts w:ascii="Arial" w:cs="Arial" w:eastAsia="Arial" w:hAnsi="Arial"/>
          <w:sz w:val="17"/>
          <w:szCs w:val="17"/>
          <w:color w:val="auto"/>
        </w:rPr>
        <w:t xml:space="preserve"> P. M</w:t>
      </w:r>
      <w:r>
        <w:rPr>
          <w:rFonts w:ascii="Arial" w:cs="Arial" w:eastAsia="Arial" w:hAnsi="Arial"/>
          <w:sz w:val="12"/>
          <w:szCs w:val="12"/>
          <w:color w:val="auto"/>
        </w:rPr>
        <w:t>CGAHN</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President,</w:t>
      </w:r>
    </w:p>
    <w:p>
      <w:pPr>
        <w:spacing w:after="0" w:line="9"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28, 2015</w:t>
      </w:r>
    </w:p>
    <w:p>
      <w:pPr>
        <w:spacing w:after="0" w:line="23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38"/>
        </w:trPr>
        <w:tc>
          <w:tcPr>
            <w:tcW w:w="470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D</w:t>
            </w:r>
            <w:r>
              <w:rPr>
                <w:rFonts w:ascii="Arial" w:cs="Arial" w:eastAsia="Arial" w:hAnsi="Arial"/>
                <w:sz w:val="13"/>
                <w:szCs w:val="13"/>
                <w:color w:val="auto"/>
                <w:w w:val="99"/>
              </w:rPr>
              <w:t>ANIEL</w:t>
            </w:r>
            <w:r>
              <w:rPr>
                <w:rFonts w:ascii="Arial" w:cs="Arial" w:eastAsia="Arial" w:hAnsi="Arial"/>
                <w:sz w:val="18"/>
                <w:szCs w:val="18"/>
                <w:color w:val="auto"/>
                <w:w w:val="99"/>
              </w:rPr>
              <w:t xml:space="preserve"> P. M</w:t>
            </w:r>
            <w:r>
              <w:rPr>
                <w:rFonts w:ascii="Arial" w:cs="Arial" w:eastAsia="Arial" w:hAnsi="Arial"/>
                <w:sz w:val="13"/>
                <w:szCs w:val="13"/>
                <w:color w:val="auto"/>
                <w:w w:val="99"/>
              </w:rPr>
              <w:t>CGAHN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Chief Executive Officer, and</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28"/>
        </w:trPr>
        <w:tc>
          <w:tcPr>
            <w:tcW w:w="4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Director (Principal Executive Officer)</w:t>
            </w: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Daniel P. McGahn</w:t>
            </w:r>
          </w:p>
        </w:tc>
        <w:tc>
          <w:tcPr>
            <w:tcW w:w="120" w:type="dxa"/>
            <w:vAlign w:val="bottom"/>
            <w:vMerge w:val="continue"/>
          </w:tcPr>
          <w:p>
            <w:pPr>
              <w:spacing w:after="0"/>
              <w:rPr>
                <w:sz w:val="15"/>
                <w:szCs w:val="15"/>
                <w:color w:val="auto"/>
              </w:rPr>
            </w:pPr>
          </w:p>
        </w:tc>
        <w:tc>
          <w:tcPr>
            <w:tcW w:w="490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470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D</w:t>
            </w:r>
            <w:r>
              <w:rPr>
                <w:rFonts w:ascii="Arial" w:cs="Arial" w:eastAsia="Arial" w:hAnsi="Arial"/>
                <w:sz w:val="13"/>
                <w:szCs w:val="13"/>
                <w:color w:val="auto"/>
                <w:w w:val="99"/>
              </w:rPr>
              <w:t>AVID</w:t>
            </w:r>
            <w:r>
              <w:rPr>
                <w:rFonts w:ascii="Arial" w:cs="Arial" w:eastAsia="Arial" w:hAnsi="Arial"/>
                <w:sz w:val="18"/>
                <w:szCs w:val="18"/>
                <w:color w:val="auto"/>
                <w:w w:val="99"/>
              </w:rPr>
              <w:t xml:space="preserve"> A. H</w:t>
            </w:r>
            <w:r>
              <w:rPr>
                <w:rFonts w:ascii="Arial" w:cs="Arial" w:eastAsia="Arial" w:hAnsi="Arial"/>
                <w:sz w:val="13"/>
                <w:szCs w:val="13"/>
                <w:color w:val="auto"/>
                <w:w w:val="99"/>
              </w:rPr>
              <w:t>ENRY</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Vice President, Chief</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28"/>
        </w:trPr>
        <w:tc>
          <w:tcPr>
            <w:tcW w:w="4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9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Financial Officer and Treasurer (Principal Financial</w:t>
            </w: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90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5"/>
              </w:rPr>
              <w:t>David A. Henry</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and Accounting Officer)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3"/>
                <w:szCs w:val="13"/>
                <w:color w:val="auto"/>
                <w:w w:val="93"/>
              </w:rPr>
              <w:t>S</w:t>
            </w:r>
            <w:r>
              <w:rPr>
                <w:rFonts w:ascii="Arial" w:cs="Arial" w:eastAsia="Arial" w:hAnsi="Arial"/>
                <w:sz w:val="18"/>
                <w:szCs w:val="18"/>
                <w:color w:val="auto"/>
                <w:w w:val="93"/>
              </w:rPr>
              <w:t>/ J</w:t>
            </w:r>
            <w:r>
              <w:rPr>
                <w:rFonts w:ascii="Arial" w:cs="Arial" w:eastAsia="Arial" w:hAnsi="Arial"/>
                <w:sz w:val="13"/>
                <w:szCs w:val="13"/>
                <w:color w:val="auto"/>
                <w:w w:val="93"/>
              </w:rPr>
              <w:t>OHN</w:t>
            </w:r>
            <w:r>
              <w:rPr>
                <w:rFonts w:ascii="Arial" w:cs="Arial" w:eastAsia="Arial" w:hAnsi="Arial"/>
                <w:sz w:val="18"/>
                <w:szCs w:val="18"/>
                <w:color w:val="auto"/>
                <w:w w:val="93"/>
              </w:rPr>
              <w:t xml:space="preserve"> W. W</w:t>
            </w:r>
            <w:r>
              <w:rPr>
                <w:rFonts w:ascii="Arial" w:cs="Arial" w:eastAsia="Arial" w:hAnsi="Arial"/>
                <w:sz w:val="13"/>
                <w:szCs w:val="13"/>
                <w:color w:val="auto"/>
                <w:w w:val="93"/>
              </w:rPr>
              <w:t>OOD</w:t>
            </w:r>
            <w:r>
              <w:rPr>
                <w:rFonts w:ascii="Arial" w:cs="Arial" w:eastAsia="Arial" w:hAnsi="Arial"/>
                <w:sz w:val="18"/>
                <w:szCs w:val="18"/>
                <w:color w:val="auto"/>
                <w:w w:val="93"/>
              </w:rPr>
              <w:t>, J</w:t>
            </w:r>
            <w:r>
              <w:rPr>
                <w:rFonts w:ascii="Arial" w:cs="Arial" w:eastAsia="Arial" w:hAnsi="Arial"/>
                <w:sz w:val="13"/>
                <w:szCs w:val="13"/>
                <w:color w:val="auto"/>
                <w:w w:val="93"/>
              </w:rPr>
              <w:t>R</w:t>
            </w:r>
            <w:r>
              <w:rPr>
                <w:rFonts w:ascii="Arial" w:cs="Arial" w:eastAsia="Arial" w:hAnsi="Arial"/>
                <w:sz w:val="18"/>
                <w:szCs w:val="18"/>
                <w:color w:val="auto"/>
                <w:w w:val="93"/>
              </w:rPr>
              <w:t>.</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453"/>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John W. Wood, Jr.</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3"/>
                <w:szCs w:val="13"/>
                <w:color w:val="auto"/>
              </w:rPr>
              <w:t>IKRAM</w:t>
            </w:r>
            <w:r>
              <w:rPr>
                <w:rFonts w:ascii="Arial" w:cs="Arial" w:eastAsia="Arial" w:hAnsi="Arial"/>
                <w:sz w:val="18"/>
                <w:szCs w:val="18"/>
                <w:color w:val="auto"/>
              </w:rPr>
              <w:t xml:space="preserve"> S. B</w:t>
            </w:r>
            <w:r>
              <w:rPr>
                <w:rFonts w:ascii="Arial" w:cs="Arial" w:eastAsia="Arial" w:hAnsi="Arial"/>
                <w:sz w:val="13"/>
                <w:szCs w:val="13"/>
                <w:color w:val="auto"/>
              </w:rPr>
              <w:t>UDHRAJA</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5"/>
              </w:rPr>
              <w:t>Vikram S. Budhraja</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P</w:t>
            </w:r>
            <w:r>
              <w:rPr>
                <w:rFonts w:ascii="Arial" w:cs="Arial" w:eastAsia="Arial" w:hAnsi="Arial"/>
                <w:sz w:val="13"/>
                <w:szCs w:val="13"/>
                <w:color w:val="auto"/>
                <w:w w:val="99"/>
              </w:rPr>
              <w:t>AMELA</w:t>
            </w:r>
            <w:r>
              <w:rPr>
                <w:rFonts w:ascii="Arial" w:cs="Arial" w:eastAsia="Arial" w:hAnsi="Arial"/>
                <w:sz w:val="18"/>
                <w:szCs w:val="18"/>
                <w:color w:val="auto"/>
                <w:w w:val="99"/>
              </w:rPr>
              <w:t xml:space="preserve"> F. L</w:t>
            </w:r>
            <w:r>
              <w:rPr>
                <w:rFonts w:ascii="Arial" w:cs="Arial" w:eastAsia="Arial" w:hAnsi="Arial"/>
                <w:sz w:val="13"/>
                <w:szCs w:val="13"/>
                <w:color w:val="auto"/>
                <w:w w:val="99"/>
              </w:rPr>
              <w:t>ENEHAN</w:t>
            </w: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9"/>
              </w:rPr>
              <w:t>Pamela F. Lenehan</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D</w:t>
            </w:r>
            <w:r>
              <w:rPr>
                <w:rFonts w:ascii="Arial" w:cs="Arial" w:eastAsia="Arial" w:hAnsi="Arial"/>
                <w:sz w:val="13"/>
                <w:szCs w:val="13"/>
                <w:color w:val="auto"/>
                <w:w w:val="96"/>
              </w:rPr>
              <w:t>AVID</w:t>
            </w:r>
            <w:r>
              <w:rPr>
                <w:rFonts w:ascii="Arial" w:cs="Arial" w:eastAsia="Arial" w:hAnsi="Arial"/>
                <w:sz w:val="18"/>
                <w:szCs w:val="18"/>
                <w:color w:val="auto"/>
                <w:w w:val="96"/>
              </w:rPr>
              <w:t xml:space="preserve"> R. O</w:t>
            </w:r>
            <w:r>
              <w:rPr>
                <w:rFonts w:ascii="Arial" w:cs="Arial" w:eastAsia="Arial" w:hAnsi="Arial"/>
                <w:sz w:val="13"/>
                <w:szCs w:val="13"/>
                <w:color w:val="auto"/>
                <w:w w:val="96"/>
              </w:rPr>
              <w:t>LIVER</w:t>
            </w:r>
            <w:r>
              <w:rPr>
                <w:rFonts w:ascii="Arial" w:cs="Arial" w:eastAsia="Arial" w:hAnsi="Arial"/>
                <w:sz w:val="18"/>
                <w:szCs w:val="18"/>
                <w:color w:val="auto"/>
                <w:w w:val="96"/>
              </w:rPr>
              <w:t>, J</w:t>
            </w:r>
            <w:r>
              <w:rPr>
                <w:rFonts w:ascii="Arial" w:cs="Arial" w:eastAsia="Arial" w:hAnsi="Arial"/>
                <w:sz w:val="13"/>
                <w:szCs w:val="13"/>
                <w:color w:val="auto"/>
                <w:w w:val="96"/>
              </w:rPr>
              <w:t>R</w:t>
            </w:r>
            <w:r>
              <w:rPr>
                <w:rFonts w:ascii="Arial" w:cs="Arial" w:eastAsia="Arial" w:hAnsi="Arial"/>
                <w:sz w:val="18"/>
                <w:szCs w:val="18"/>
                <w:color w:val="auto"/>
                <w:w w:val="96"/>
              </w:rPr>
              <w:t>.</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3"/>
              </w:rPr>
              <w:t>David R. Oliver, Jr.</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3"/>
                <w:szCs w:val="13"/>
                <w:color w:val="auto"/>
                <w:w w:val="97"/>
              </w:rPr>
              <w:t>S</w:t>
            </w:r>
            <w:r>
              <w:rPr>
                <w:rFonts w:ascii="Arial" w:cs="Arial" w:eastAsia="Arial" w:hAnsi="Arial"/>
                <w:sz w:val="18"/>
                <w:szCs w:val="18"/>
                <w:color w:val="auto"/>
                <w:w w:val="97"/>
              </w:rPr>
              <w:t>/ J</w:t>
            </w:r>
            <w:r>
              <w:rPr>
                <w:rFonts w:ascii="Arial" w:cs="Arial" w:eastAsia="Arial" w:hAnsi="Arial"/>
                <w:sz w:val="13"/>
                <w:szCs w:val="13"/>
                <w:color w:val="auto"/>
                <w:w w:val="97"/>
              </w:rPr>
              <w:t>OHN</w:t>
            </w:r>
            <w:r>
              <w:rPr>
                <w:rFonts w:ascii="Arial" w:cs="Arial" w:eastAsia="Arial" w:hAnsi="Arial"/>
                <w:sz w:val="18"/>
                <w:szCs w:val="18"/>
                <w:color w:val="auto"/>
                <w:w w:val="97"/>
              </w:rPr>
              <w:t xml:space="preserve"> B. V</w:t>
            </w:r>
            <w:r>
              <w:rPr>
                <w:rFonts w:ascii="Arial" w:cs="Arial" w:eastAsia="Arial" w:hAnsi="Arial"/>
                <w:sz w:val="13"/>
                <w:szCs w:val="13"/>
                <w:color w:val="auto"/>
                <w:w w:val="97"/>
              </w:rPr>
              <w:t>ANDER</w:t>
            </w:r>
            <w:r>
              <w:rPr>
                <w:rFonts w:ascii="Arial" w:cs="Arial" w:eastAsia="Arial" w:hAnsi="Arial"/>
                <w:sz w:val="18"/>
                <w:szCs w:val="18"/>
                <w:color w:val="auto"/>
                <w:w w:val="97"/>
              </w:rPr>
              <w:t xml:space="preserve"> S</w:t>
            </w:r>
            <w:r>
              <w:rPr>
                <w:rFonts w:ascii="Arial" w:cs="Arial" w:eastAsia="Arial" w:hAnsi="Arial"/>
                <w:sz w:val="13"/>
                <w:szCs w:val="13"/>
                <w:color w:val="auto"/>
                <w:w w:val="97"/>
              </w:rPr>
              <w:t>ANDE</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May 28, 2015</w:t>
            </w:r>
          </w:p>
        </w:tc>
        <w:tc>
          <w:tcPr>
            <w:tcW w:w="0" w:type="dxa"/>
            <w:vAlign w:val="bottom"/>
          </w:tcPr>
          <w:p>
            <w:pPr>
              <w:spacing w:after="0"/>
              <w:rPr>
                <w:sz w:val="1"/>
                <w:szCs w:val="1"/>
                <w:color w:val="auto"/>
              </w:rPr>
            </w:pPr>
          </w:p>
        </w:tc>
      </w:tr>
      <w:tr>
        <w:trPr>
          <w:trHeight w:val="459"/>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8"/>
              </w:rPr>
              <w:t>John B. Vander Sande</w:t>
            </w: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20"/>
          </w:cols>
          <w:pgMar w:left="240" w:top="364" w:right="339" w:bottom="1440" w:gutter="0" w:footer="0" w:header="0"/>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the Registrant, as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Certificate of Amendment of Restated Certificate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Incorporation of the Registrant, dated March 24, 2015.</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Exchanged Note dated as of December 20, 2012 between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Series A-2 Warrant, dated as of October 9, 2013, between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Amended and Restated Warrant Agreement, dated as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December 19, 2014, between the Registrant and Hercules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Technology Growth Capital, Inc.</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Form of Indenture.</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Form of Warrant Agreement by and between American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Superconductor Corporation and the American Stock Transfer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and Trust Company, dated November 13, 2014, and Form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Warrant.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Amended and Restated 1996 Stock Incentive Plan.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Form of incentive stock option agreement under Amended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Restated 1996 Stock Incentive Plan.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Form of non-statutory stock option agreement under Amended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Restated 1996 Stock Incentive Plan.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Second Amended and Restated 1997 Director Stock Option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Form of Stock Option Agreement under Second Amended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Restated 1997 Director Stock Option Plan, as amended.</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2004 Stock Incentive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Form of incentive stock option agreement under 2004 Stock</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Incentive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Form of non-statutory stock option agreement under 2004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Incentive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Form of restricted stock agreement under 2004 Stock Incentive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Plan, as amended.</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2007 Stock Incentive Plan, as 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333-191153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9/13/13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3/24/15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333-191153</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9/13/13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2/11/13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11/12/13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12/22/14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333-198851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9/19/14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11/13/14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6/27/01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5/28/09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5/28/09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11/9/04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8/06/14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20" w:space="100"/>
            <w:col w:w="5600"/>
          </w:cols>
          <w:pgMar w:left="240" w:top="364" w:right="339" w:bottom="1440" w:gutter="0" w:footer="0" w:header="0"/>
          <w:type w:val="continuous"/>
        </w:sectPr>
      </w:pPr>
    </w:p>
    <w:bookmarkStart w:id="102" w:name="page103"/>
    <w:bookmarkEnd w:id="102"/>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Form of Incentive Stock Option Agreement under 2007 Stock</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Incentive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Form of Non-statutory Stock Option Agreement under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Option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Form of Restricted Stock Agreement Regarding Awards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Executive Officers under 2007 Stock Option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Form of Restricted Stock Agreement Regarding Awards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Employees, under 2007 Stock Option Plan, as amended.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Form of Restricted Stock Agreement (regarding performance-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based awards to executive officers and employees) under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Incentive Plan, as amended.</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2007 Director Stock Plan (as amended and restated)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Form of Non-statutory Stock Option Agreement Under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 Stock Plan (as amended and restated)</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Executive Incentive Plan for the fiscal year ended March 31,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Executive Incentive Plan for fiscal year ending March 31,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Form of Employee Nondisclosure and Developments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9"/>
              </w:rPr>
              <w:t>Amended and Restated Executive Severance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as of May 24, 2011, between the Registrant and Daniel P.</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McGahn.</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Amended and Restated Executive Severance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as of December 23, 2008 between the Registrant and David A.</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Henry.</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Amended and Restated Executive Severance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9"/>
              </w:rPr>
              <w:t>as of September 20, 2013 between the Registrant and James 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Maguire.</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First Amendment to Executive Severance Agreement, effective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as of May 9, 2012, between the Registrant and James 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Maguire.</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Severance Agreement dated as of February 14, 2013 between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the Registrant and Timothy D. Poor.</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Employment Offer Letter from the Registrant to Timothy 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Poor.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5/20/08</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8/7/07</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11/12/13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333-43647</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1/7/91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5/24/11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9/25/13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8/3/12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2/20/13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8/7/13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20" w:space="100"/>
            <w:col w:w="5600"/>
          </w:cols>
          <w:pgMar w:left="240" w:top="360" w:right="339" w:bottom="1440" w:gutter="0" w:footer="0" w:header="0"/>
        </w:sectPr>
      </w:pPr>
    </w:p>
    <w:bookmarkStart w:id="103" w:name="page104"/>
    <w:bookmarkEnd w:id="10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Severance Agreement dated as of January 2, 2013 between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Registrant and Susan J. DiCecco.</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Securities Purchase Agreement, dated as of April 4, 2012,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and between the 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Registration Rights Agreement, dated as of April 4, 2012,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0"/>
              </w:rPr>
              <w:t>and between the 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Amendment and Exchange Agreement, dated as of December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20, 2012, by and between the Registrant and Capital Ventures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Second Amendment and Warrant Exchange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as of October 9, 2013, by and between the Registrant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Exchange Agreement, dated as of March 2, 2014, by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between the Registrant and Capital Ventures International.</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Loan and Security Agreement, by and between Registrant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Hercules Technology Growth Capital, Inc., dated as of June 5,</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First Amendment to Loan and Security Agreement, by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between Registrant and Hercules Technology Growth Capital,</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 dated as of November 15, 2013.</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Second Amendment to Loan and Security Agreement, by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among the Registrant, ASC Devens LLC, Superconductivity,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Inc. and Hercules Technology Growth Capital, Inc., dated as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December 19, 2014.</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Limited Waiver, dated as of June 11, 2013, between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Registrant and Hercules Technology Growth Capital, Inc.</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Mortgage and Security Agreement, dated as of July 31, 2012,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by and between ASC Devens LLC and Hercules Technology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Growth Capital, Inc.</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First Modification to Mortgage and Security Agreement,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as of November 15, 2013, by and between ASC Devens LLC</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and Hercules Technology Growth Capital, Inc.</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Second Modification to Mortgage and Security Agreement,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1"/>
              </w:rPr>
              <w:t>dated as of December 19, 2014, by and between ASC Devens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LLC and Hercules Technology Growth Capital,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1/8/13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4/4/12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4/4/12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12/21/12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10/9/13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3/3/14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6/6/12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11/18/13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12/22/14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6/14/13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2/6/14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000-19672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2/5/15</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20" w:space="100"/>
            <w:col w:w="5600"/>
          </w:cols>
          <w:pgMar w:left="240" w:top="360" w:right="339" w:bottom="1440" w:gutter="0" w:footer="0" w:header="0"/>
        </w:sectPr>
      </w:pPr>
    </w:p>
    <w:bookmarkStart w:id="104" w:name="page105"/>
    <w:bookmarkEnd w:id="10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3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6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4"/>
                <w:szCs w:val="24"/>
                <w:color w:val="auto"/>
              </w:rPr>
            </w:pPr>
          </w:p>
        </w:tc>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Environmental Indemnity Agreement, dated as of July 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2012, made by the Registrant and ASC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3"/>
              </w:rPr>
              <w:t>Devens LLC in favor of Hercules Technology Growth Capital,</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350"/>
        </w:trPr>
        <w:tc>
          <w:tcPr>
            <w:tcW w:w="1040" w:type="dxa"/>
            <w:vAlign w:val="bottom"/>
            <w:gridSpan w:val="2"/>
          </w:tcPr>
          <w:p>
            <w:pPr>
              <w:spacing w:after="0"/>
              <w:rPr>
                <w:sz w:val="20"/>
                <w:szCs w:val="20"/>
                <w:color w:val="auto"/>
              </w:rPr>
            </w:pPr>
            <w:r>
              <w:rPr>
                <w:rFonts w:ascii="Arial" w:cs="Arial" w:eastAsia="Arial" w:hAnsi="Arial"/>
                <w:sz w:val="18"/>
                <w:szCs w:val="18"/>
                <w:color w:val="auto"/>
              </w:rPr>
              <w:t>10.41†</w:t>
            </w:r>
          </w:p>
        </w:tc>
        <w:tc>
          <w:tcPr>
            <w:tcW w:w="4580" w:type="dxa"/>
            <w:vAlign w:val="bottom"/>
            <w:gridSpan w:val="2"/>
          </w:tcPr>
          <w:p>
            <w:pPr>
              <w:spacing w:after="0"/>
              <w:rPr>
                <w:sz w:val="20"/>
                <w:szCs w:val="20"/>
                <w:color w:val="auto"/>
              </w:rPr>
            </w:pPr>
            <w:r>
              <w:rPr>
                <w:rFonts w:ascii="Arial" w:cs="Arial" w:eastAsia="Arial" w:hAnsi="Arial"/>
                <w:sz w:val="18"/>
                <w:szCs w:val="18"/>
                <w:color w:val="auto"/>
              </w:rPr>
              <w:t>Supply Contract, effective as of February 8, 2013, by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between the Registrant and Inox 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10.42†</w:t>
            </w:r>
          </w:p>
        </w:tc>
        <w:tc>
          <w:tcPr>
            <w:tcW w:w="4580" w:type="dxa"/>
            <w:vAlign w:val="bottom"/>
            <w:gridSpan w:val="2"/>
          </w:tcPr>
          <w:p>
            <w:pPr>
              <w:spacing w:after="0"/>
              <w:rPr>
                <w:sz w:val="20"/>
                <w:szCs w:val="20"/>
                <w:color w:val="auto"/>
              </w:rPr>
            </w:pPr>
            <w:r>
              <w:rPr>
                <w:rFonts w:ascii="Arial" w:cs="Arial" w:eastAsia="Arial" w:hAnsi="Arial"/>
                <w:sz w:val="18"/>
                <w:szCs w:val="18"/>
                <w:color w:val="auto"/>
                <w:w w:val="92"/>
              </w:rPr>
              <w:t>Supply Contract, effective as of June 2, 2014, by and between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the Registrant and Inox Wind Limited.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10.43†</w:t>
            </w:r>
          </w:p>
        </w:tc>
        <w:tc>
          <w:tcPr>
            <w:tcW w:w="4580" w:type="dxa"/>
            <w:vAlign w:val="bottom"/>
            <w:gridSpan w:val="2"/>
          </w:tcPr>
          <w:p>
            <w:pPr>
              <w:spacing w:after="0"/>
              <w:rPr>
                <w:sz w:val="20"/>
                <w:szCs w:val="20"/>
                <w:color w:val="auto"/>
              </w:rPr>
            </w:pPr>
            <w:r>
              <w:rPr>
                <w:rFonts w:ascii="Arial" w:cs="Arial" w:eastAsia="Arial" w:hAnsi="Arial"/>
                <w:sz w:val="18"/>
                <w:szCs w:val="18"/>
                <w:color w:val="auto"/>
              </w:rPr>
              <w:t>Supply Contract, effective as of August 15, 2014, by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between the Registrant and Inox Wind Limited.</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4"/>
              </w:rPr>
              <w:t>At Market Issuance Sales Agreement, dated as of November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2"/>
              </w:rPr>
              <w:t>15, 2013, by and between the Registrant and MLV &amp; Co. LLC.</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1"/>
              </w:rPr>
              <w:t>Letter from PricewaterhouseCoopers LLP to the Securities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Exchange Commission dated August 21, 2013.</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Consent of McGladrey LLP</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4"/>
              </w:rPr>
              <w:t>Chief Executive Officer — Certification pursuant to Rule 13a-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9"/>
              </w:rPr>
              <w:t>14(a) or Rule 15d-14(a) of the Securities Exchange Act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6"/>
              </w:rPr>
              <w:t>1934, as adopted pursuant to Section 302 of the Sarbanes-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Chief Financial Officer — Certification pursuant to Rule 13a-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9"/>
              </w:rPr>
              <w:t>14(a) or Rule 15d-14(a) of the Securities Exchange Act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6"/>
              </w:rPr>
              <w:t>1934, as adopted pursuant to Section 302 of the Sarbanes-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Chief Executive Officer — Certification pursuant to Rule13a-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9"/>
              </w:rPr>
              <w:t>14(b) or Rule 15d-14(b) of the Securities Exchange Act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8"/>
              </w:rPr>
              <w:t>1934 and 18 U.S.C. Section 1350,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5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Chief Financial Officer — Certification pursuant to Rule 13a-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9"/>
              </w:rPr>
              <w:t>14(b) or Rule 15d-14(b) of the Securities Exchange Act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8"/>
              </w:rPr>
              <w:t>1934 and 18 U.S.C. Section 1350,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8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2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vMerge w:val="restart"/>
          </w:tcPr>
          <w:p>
            <w:pPr>
              <w:spacing w:after="0"/>
              <w:rPr>
                <w:sz w:val="10"/>
                <w:szCs w:val="10"/>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vMerge w:val="restart"/>
          </w:tcPr>
          <w:p>
            <w:pPr>
              <w:spacing w:after="0"/>
              <w:rPr>
                <w:sz w:val="10"/>
                <w:szCs w:val="10"/>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Filed/Furnished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426"/>
        </w:trPr>
        <w:tc>
          <w:tcPr>
            <w:tcW w:w="1140" w:type="dxa"/>
            <w:vAlign w:val="bottom"/>
            <w:gridSpan w:val="2"/>
          </w:tcPr>
          <w:p>
            <w:pPr>
              <w:ind w:left="320"/>
              <w:spacing w:after="0"/>
              <w:rPr>
                <w:sz w:val="20"/>
                <w:szCs w:val="20"/>
                <w:color w:val="auto"/>
              </w:rPr>
            </w:pPr>
            <w:r>
              <w:rPr>
                <w:rFonts w:ascii="Arial" w:cs="Arial" w:eastAsia="Arial" w:hAnsi="Arial"/>
                <w:sz w:val="18"/>
                <w:szCs w:val="18"/>
                <w:color w:val="auto"/>
              </w:rPr>
              <w:t>10-Q</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000-19672</w:t>
            </w:r>
          </w:p>
        </w:tc>
        <w:tc>
          <w:tcPr>
            <w:tcW w:w="100" w:type="dxa"/>
            <w:vAlign w:val="bottom"/>
          </w:tcPr>
          <w:p>
            <w:pPr>
              <w:spacing w:after="0"/>
              <w:rPr>
                <w:sz w:val="24"/>
                <w:szCs w:val="24"/>
                <w:color w:val="auto"/>
              </w:rPr>
            </w:pPr>
          </w:p>
        </w:tc>
        <w:tc>
          <w:tcPr>
            <w:tcW w:w="1040" w:type="dxa"/>
            <w:vAlign w:val="bottom"/>
          </w:tcPr>
          <w:p>
            <w:pPr>
              <w:jc w:val="right"/>
              <w:ind w:right="279"/>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11/6/12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000-19672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3"/>
              </w:rPr>
              <w:t>2/14/13</w:t>
            </w:r>
          </w:p>
        </w:tc>
      </w:tr>
      <w:tr>
        <w:trPr>
          <w:trHeight w:val="581"/>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000-19672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1"/>
              </w:rPr>
              <w:t>6/5/14</w:t>
            </w:r>
          </w:p>
        </w:tc>
      </w:tr>
      <w:tr>
        <w:trPr>
          <w:trHeight w:val="648"/>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000-19672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89"/>
              </w:rPr>
              <w:t>11/6/14</w:t>
            </w:r>
          </w:p>
        </w:tc>
      </w:tr>
      <w:tr>
        <w:trPr>
          <w:trHeight w:val="648"/>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000-19672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11/18/13</w:t>
            </w:r>
          </w:p>
        </w:tc>
      </w:tr>
      <w:tr>
        <w:trPr>
          <w:trHeight w:val="581"/>
        </w:trPr>
        <w:tc>
          <w:tcPr>
            <w:tcW w:w="66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000-19672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16.1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8/21/2013</w:t>
            </w:r>
          </w:p>
        </w:tc>
      </w:tr>
    </w:tbl>
    <w:p>
      <w:pPr>
        <w:spacing w:after="0" w:line="3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620" w:space="100"/>
            <w:col w:w="5600"/>
          </w:cols>
          <w:pgMar w:left="240" w:top="360" w:right="339" w:bottom="1440" w:gutter="0" w:footer="0" w:header="0"/>
        </w:sectPr>
      </w:pPr>
    </w:p>
    <w:bookmarkStart w:id="105" w:name="page106"/>
    <w:bookmarkEnd w:id="105"/>
    <w:p>
      <w:pPr>
        <w:ind w:left="540" w:hanging="532"/>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spacing w:after="0" w:line="2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ectPr>
          <w:pgSz w:w="11900" w:h="16838" w:orient="portrait"/>
          <w:cols w:equalWidth="0" w:num="1">
            <w:col w:w="11420"/>
          </w:cols>
          <w:pgMar w:left="240" w:top="436"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AMSC Australia Pty Ltd – incorporated in Australia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AMSC India Private Limited – incorporated in India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AMSC Austria GmbH – incorporated in Austria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AMSC United Kingdom Limited – incorporated in the United Kingdom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ASC Devens LLC – formed in 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ASC Securities Corp. – incorporated in Massachusetts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Superconductivity, Inc. – incorporated in Delaware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Suzhou AMSC Super Conductor Co., Ltd. – incorporated in China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LLC – formed in Delaware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GmbH – established in Germany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Korea Co., Ltd. – incorporated in South Korea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Europe C.V. – incorporated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Romania S.R.L. – incorporated in Romania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Blade Dynamics Limited (UK) – incorporated in the 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Tres Amigas, LLC – formed in Delaware</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S-3 (Nos. 333-191153 and 333-198851) and Form S-8 (Nos. 333-37163, 333-39653, 333-71539, 333-58016, 333-111477, 333-119125, 333-119126, 333-145685, 333-170286, 333-183075 and 333-197971) of American Superconductor Corporation of our report dated June 14, 2013 relating to the financial statements and financial statement schedule,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28, 2015</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Registration Statements on Form S-3 (No. 333-191153 and 333-198851) and Form S-8 (No. 333-37163, 333-39653, 333-58016, 333-71539, 333-111477, 333-119125, 333-119126, 333-145685, 333-170286, 333-183075 and 333-197971) of American Superconductor Corporation and its subsidiaries (the “Company”) of our report dated May 28, 2015, relating to our audit of the consolidated financial statements and the financial statement schedule as of and for the year ended March 31, 2015 and the effectiveness of the Company’s internal control over financial reporting as of March 31, 2015, which appears in the Annual Report on Form 10-K of American Superconductor Corporation for the year ended March 31, 2015.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28, 2015</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117"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117" w:lineRule="exact"/>
        <w:rPr>
          <w:rFonts w:ascii="Arial" w:cs="Arial" w:eastAsia="Arial" w:hAnsi="Arial"/>
          <w:sz w:val="18"/>
          <w:szCs w:val="18"/>
          <w:color w:val="auto"/>
        </w:rPr>
      </w:pPr>
    </w:p>
    <w:p>
      <w:pPr>
        <w:jc w:val="both"/>
        <w:ind w:left="540" w:hanging="532"/>
        <w:spacing w:after="0" w:line="26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40" w:hanging="532"/>
        <w:spacing w:after="0" w:line="26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494"/>
        <w:spacing w:after="0" w:line="264"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right="20" w:hanging="494"/>
        <w:spacing w:after="0" w:line="264"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20" w:hanging="494"/>
        <w:spacing w:after="0" w:line="308" w:lineRule="auto"/>
        <w:tabs>
          <w:tab w:leader="none" w:pos="10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20" w:right="20" w:hanging="494"/>
        <w:spacing w:after="0" w:line="264"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hanging="532"/>
        <w:spacing w:after="0" w:line="308"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20" w:hanging="494"/>
        <w:spacing w:after="0" w:line="277"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6840" w:val="left"/>
          <w:tab w:leader="none" w:pos="8400" w:val="left"/>
          <w:tab w:leader="none" w:pos="8740" w:val="left"/>
        </w:tabs>
        <w:rPr>
          <w:sz w:val="20"/>
          <w:szCs w:val="20"/>
          <w:color w:val="auto"/>
        </w:rPr>
      </w:pPr>
      <w:r>
        <w:rPr>
          <w:rFonts w:ascii="Arial" w:cs="Arial" w:eastAsia="Arial" w:hAnsi="Arial"/>
          <w:sz w:val="18"/>
          <w:szCs w:val="18"/>
          <w:color w:val="auto"/>
        </w:rPr>
        <w:t>Date: May 28, 2015</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2"/>
          <w:szCs w:val="12"/>
          <w:b w:val="1"/>
          <w:bCs w:val="1"/>
          <w:color w:val="auto"/>
        </w:rPr>
        <w:t>C</w:t>
      </w:r>
      <w:r>
        <w:rPr>
          <w:rFonts w:ascii="Arial" w:cs="Arial" w:eastAsia="Arial" w:hAnsi="Arial"/>
          <w:sz w:val="18"/>
          <w:szCs w:val="18"/>
          <w:b w:val="1"/>
          <w:bCs w:val="1"/>
          <w:color w:val="auto"/>
        </w:rPr>
        <w:t>G</w:t>
      </w:r>
      <w:r>
        <w:rPr>
          <w:rFonts w:ascii="Arial" w:cs="Arial" w:eastAsia="Arial" w:hAnsi="Arial"/>
          <w:sz w:val="12"/>
          <w:szCs w:val="12"/>
          <w:b w:val="1"/>
          <w:bCs w:val="1"/>
          <w:color w:val="auto"/>
        </w:rPr>
        <w:t>AHN</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117"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117" w:lineRule="exact"/>
        <w:rPr>
          <w:rFonts w:ascii="Arial" w:cs="Arial" w:eastAsia="Arial" w:hAnsi="Arial"/>
          <w:sz w:val="18"/>
          <w:szCs w:val="18"/>
          <w:color w:val="auto"/>
        </w:rPr>
      </w:pPr>
    </w:p>
    <w:p>
      <w:pPr>
        <w:jc w:val="both"/>
        <w:ind w:left="540" w:hanging="532"/>
        <w:spacing w:after="0" w:line="26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40" w:hanging="532"/>
        <w:spacing w:after="0" w:line="26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494"/>
        <w:spacing w:after="0" w:line="264"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right="20" w:hanging="494"/>
        <w:spacing w:after="0" w:line="264"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20" w:hanging="494"/>
        <w:spacing w:after="0" w:line="308" w:lineRule="auto"/>
        <w:tabs>
          <w:tab w:leader="none" w:pos="10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20" w:right="20" w:hanging="494"/>
        <w:spacing w:after="0" w:line="264"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hanging="532"/>
        <w:spacing w:after="0" w:line="308"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20" w:hanging="494"/>
        <w:spacing w:after="0" w:line="277"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6840" w:val="left"/>
          <w:tab w:leader="none" w:pos="8520" w:val="left"/>
          <w:tab w:leader="none" w:pos="8880" w:val="left"/>
        </w:tabs>
        <w:rPr>
          <w:sz w:val="20"/>
          <w:szCs w:val="20"/>
          <w:color w:val="auto"/>
        </w:rPr>
      </w:pPr>
      <w:r>
        <w:rPr>
          <w:rFonts w:ascii="Arial" w:cs="Arial" w:eastAsia="Arial" w:hAnsi="Arial"/>
          <w:sz w:val="18"/>
          <w:szCs w:val="18"/>
          <w:color w:val="auto"/>
        </w:rPr>
        <w:t>Date: May 28, 2015</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2"/>
          <w:szCs w:val="12"/>
          <w:b w:val="1"/>
          <w:bCs w:val="1"/>
          <w:color w:val="auto"/>
        </w:rPr>
        <w:t>ENRY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2015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780" w:hanging="254"/>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p>
      <w:pPr>
        <w:spacing w:after="0"/>
        <w:tabs>
          <w:tab w:leader="none" w:pos="560" w:val="left"/>
          <w:tab w:leader="none" w:pos="6840" w:val="left"/>
          <w:tab w:leader="none" w:pos="8400" w:val="left"/>
          <w:tab w:leader="none" w:pos="8740" w:val="left"/>
        </w:tabs>
        <w:rPr>
          <w:sz w:val="20"/>
          <w:szCs w:val="20"/>
          <w:color w:val="auto"/>
        </w:rPr>
      </w:pPr>
      <w:r>
        <w:rPr>
          <w:rFonts w:ascii="Arial" w:cs="Arial" w:eastAsia="Arial" w:hAnsi="Arial"/>
          <w:sz w:val="18"/>
          <w:szCs w:val="18"/>
          <w:color w:val="auto"/>
        </w:rPr>
        <w:t>Date:</w:t>
        <w:tab/>
        <w:t>May 28, 2015</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2"/>
          <w:szCs w:val="12"/>
          <w:b w:val="1"/>
          <w:bCs w:val="1"/>
          <w:color w:val="auto"/>
        </w:rPr>
        <w:t>C</w:t>
      </w:r>
      <w:r>
        <w:rPr>
          <w:rFonts w:ascii="Arial" w:cs="Arial" w:eastAsia="Arial" w:hAnsi="Arial"/>
          <w:sz w:val="18"/>
          <w:szCs w:val="18"/>
          <w:b w:val="1"/>
          <w:bCs w:val="1"/>
          <w:color w:val="auto"/>
        </w:rPr>
        <w:t>G</w:t>
      </w:r>
      <w:r>
        <w:rPr>
          <w:rFonts w:ascii="Arial" w:cs="Arial" w:eastAsia="Arial" w:hAnsi="Arial"/>
          <w:sz w:val="12"/>
          <w:szCs w:val="12"/>
          <w:b w:val="1"/>
          <w:bCs w:val="1"/>
          <w:color w:val="auto"/>
        </w:rPr>
        <w:t>AHN</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2015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79" w:lineRule="exact"/>
        <w:rPr>
          <w:sz w:val="20"/>
          <w:szCs w:val="20"/>
          <w:color w:val="auto"/>
        </w:rPr>
      </w:pPr>
    </w:p>
    <w:p>
      <w:pPr>
        <w:ind w:left="780" w:hanging="254"/>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1" w:lineRule="exact"/>
        <w:rPr>
          <w:sz w:val="20"/>
          <w:szCs w:val="20"/>
          <w:color w:val="auto"/>
        </w:rPr>
      </w:pPr>
    </w:p>
    <w:p>
      <w:pPr>
        <w:spacing w:after="0"/>
        <w:tabs>
          <w:tab w:leader="none" w:pos="560" w:val="left"/>
          <w:tab w:leader="none" w:pos="6840" w:val="left"/>
          <w:tab w:leader="none" w:pos="8520" w:val="left"/>
          <w:tab w:leader="none" w:pos="8880" w:val="left"/>
        </w:tabs>
        <w:rPr>
          <w:sz w:val="20"/>
          <w:szCs w:val="20"/>
          <w:color w:val="auto"/>
        </w:rPr>
      </w:pPr>
      <w:r>
        <w:rPr>
          <w:rFonts w:ascii="Arial" w:cs="Arial" w:eastAsia="Arial" w:hAnsi="Arial"/>
          <w:sz w:val="18"/>
          <w:szCs w:val="18"/>
          <w:color w:val="auto"/>
        </w:rPr>
        <w:t>Date:</w:t>
        <w:tab/>
        <w:t>May 28, 2015</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w:t>
        <w:tab/>
        <w:t>D</w:t>
      </w:r>
      <w:r>
        <w:rPr>
          <w:rFonts w:ascii="Arial" w:cs="Arial" w:eastAsia="Arial" w:hAnsi="Arial"/>
          <w:sz w:val="12"/>
          <w:szCs w:val="12"/>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2"/>
          <w:szCs w:val="12"/>
          <w:b w:val="1"/>
          <w:bCs w:val="1"/>
          <w:color w:val="auto"/>
        </w:rPr>
        <w:t>ENRY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upperLetter"/>
      <w:start w:val="1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o"/>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o"/>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lvl w:ilvl="1">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2"/>
    </w:lvl>
  </w:abstractNum>
  <w:abstractNum w:abstractNumId="29">
    <w:nsid w:val="419AC241"/>
    <w:multiLevelType w:val="hybridMultilevel"/>
    <w:lvl w:ilvl="0">
      <w:lvlJc w:val="left"/>
      <w:lvlText w:val="%1."/>
      <w:numFmt w:val="upperLetter"/>
      <w:start w:val="3"/>
    </w:lvl>
  </w:abstractNum>
  <w:abstractNum w:abstractNumId="30">
    <w:nsid w:val="5577F8E1"/>
    <w:multiLevelType w:val="hybridMultilevel"/>
    <w:lvl w:ilvl="0">
      <w:lvlJc w:val="left"/>
      <w:lvlText w:val="%1."/>
      <w:numFmt w:val="decimal"/>
      <w:start w:val="17"/>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2019-12-29T16:13:49Z</dcterms:created>
  <dcterms:modified xsi:type="dcterms:W3CDTF">2019-12-29T16:13:49Z</dcterms:modified>
</cp:coreProperties>
</file>