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13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13245"/>
                    </a:xfrm>
                    <a:prstGeom prst="rect">
                      <a:avLst/>
                    </a:prstGeom>
                    <a:noFill/>
                  </pic:spPr>
                </pic:pic>
              </a:graphicData>
            </a:graphic>
          </wp:anchor>
        </w:drawing>
      </w:r>
    </w:p>
    <w:p>
      <w:pPr>
        <w:spacing w:after="0" w:line="1222" w:lineRule="exact"/>
        <w:rPr>
          <w:sz w:val="24"/>
          <w:szCs w:val="24"/>
          <w:color w:val="auto"/>
        </w:rPr>
      </w:pPr>
    </w:p>
    <w:p>
      <w:pPr>
        <w:sectPr>
          <w:pgSz w:w="11900" w:h="16867"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Kosiba John W JR</w:t>
              </w:r>
            </w:hyperlink>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AMERICAN SUPERCONDUCTOR</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Borders>
              <w:bottom w:val="single" w:sz="8" w:color="0000EE"/>
            </w:tcBorders>
            <w:gridSpan w:val="3"/>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gridSpan w:val="6"/>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/DE/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3"/>
          </w:tcPr>
          <w:p>
            <w:pPr>
              <w:spacing w:after="0"/>
              <w:rPr>
                <w:sz w:val="4"/>
                <w:szCs w:val="4"/>
                <w:color w:val="auto"/>
              </w:rPr>
            </w:pPr>
          </w:p>
        </w:tc>
        <w:tc>
          <w:tcPr>
            <w:tcW w:w="70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20" w:type="dxa"/>
            <w:vAlign w:val="bottom"/>
            <w:gridSpan w:val="6"/>
            <w:vMerge w:val="continue"/>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gridSpan w:val="6"/>
            <w:vMerge w:val="continue"/>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SVP, CFO &amp; Treasurer</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AMERICAN SUPERCONDUCTOR</w:t>
            </w:r>
          </w:p>
        </w:tc>
        <w:tc>
          <w:tcPr>
            <w:tcW w:w="80" w:type="dxa"/>
            <w:vAlign w:val="bottom"/>
          </w:tcPr>
          <w:p>
            <w:pPr>
              <w:spacing w:after="0"/>
              <w:rPr>
                <w:sz w:val="13"/>
                <w:szCs w:val="13"/>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2900" w:type="dxa"/>
            <w:vAlign w:val="bottom"/>
            <w:gridSpan w:val="7"/>
            <w:vMerge w:val="continue"/>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114 EAST MAIN ST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9"/>
            <w:vMerge w:val="continue"/>
          </w:tcPr>
          <w:p>
            <w:pPr>
              <w:spacing w:after="0"/>
              <w:rPr>
                <w:sz w:val="5"/>
                <w:szCs w:val="5"/>
                <w:color w:val="auto"/>
              </w:rPr>
            </w:pPr>
          </w:p>
        </w:tc>
        <w:tc>
          <w:tcPr>
            <w:tcW w:w="36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vMerge w:val="restart"/>
          </w:tcPr>
          <w:p>
            <w:pPr>
              <w:spacing w:after="0"/>
              <w:rPr>
                <w:sz w:val="7"/>
                <w:szCs w:val="7"/>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AYER</w:t>
            </w:r>
          </w:p>
        </w:tc>
        <w:tc>
          <w:tcPr>
            <w:tcW w:w="168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01432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5"/>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4"/>
          </w:tcPr>
          <w:p>
            <w:pPr>
              <w:ind w:left="1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06/01/2026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9"/>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30,000</w:t>
            </w:r>
            <w:r>
              <w:rPr>
                <w:rFonts w:ascii="Times New Roman" w:cs="Times New Roman" w:eastAsia="Times New Roman" w:hAnsi="Times New Roman"/>
                <w:sz w:val="22"/>
                <w:szCs w:val="22"/>
                <w:color w:val="008000"/>
                <w:w w:val="97"/>
                <w:vertAlign w:val="superscript"/>
              </w:rPr>
              <w:t>(1)</w:t>
            </w:r>
          </w:p>
        </w:tc>
        <w:tc>
          <w:tcPr>
            <w:tcW w:w="4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4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382,890</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5,704</w:t>
            </w:r>
          </w:p>
        </w:tc>
        <w:tc>
          <w:tcPr>
            <w:tcW w:w="4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49.461</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377,186</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12,122</w:t>
            </w:r>
          </w:p>
        </w:tc>
        <w:tc>
          <w:tcPr>
            <w:tcW w:w="4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50.6188</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365,064</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12,036</w:t>
            </w:r>
          </w:p>
        </w:tc>
        <w:tc>
          <w:tcPr>
            <w:tcW w:w="4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51.466</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353,028</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4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52.1917</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352,428</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06/03/2026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3,200</w:t>
            </w:r>
          </w:p>
        </w:tc>
        <w:tc>
          <w:tcPr>
            <w:tcW w:w="4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48.3069</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349,228</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06/03/2026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2,638</w:t>
            </w:r>
          </w:p>
        </w:tc>
        <w:tc>
          <w:tcPr>
            <w:tcW w:w="4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49.2846</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346,590</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06/03/2026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609</w:t>
            </w:r>
          </w:p>
        </w:tc>
        <w:tc>
          <w:tcPr>
            <w:tcW w:w="4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50.8258</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345,981</w:t>
            </w:r>
            <w:r>
              <w:rPr>
                <w:rFonts w:ascii="Times New Roman" w:cs="Times New Roman" w:eastAsia="Times New Roman" w:hAnsi="Times New Roman"/>
                <w:sz w:val="22"/>
                <w:szCs w:val="22"/>
                <w:color w:val="008000"/>
                <w:w w:val="92"/>
                <w:vertAlign w:val="superscript"/>
              </w:rPr>
              <w:t>(10)</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center"/>
              <w:ind w:right="339"/>
              <w:spacing w:after="0" w:line="213" w:lineRule="exact"/>
              <w:rPr>
                <w:sz w:val="20"/>
                <w:szCs w:val="20"/>
                <w:color w:val="auto"/>
              </w:rPr>
            </w:pPr>
            <w:r>
              <w:rPr>
                <w:rFonts w:ascii="Times New Roman" w:cs="Times New Roman" w:eastAsia="Times New Roman" w:hAnsi="Times New Roman"/>
                <w:sz w:val="24"/>
                <w:szCs w:val="24"/>
                <w:color w:val="0000FF"/>
                <w:vertAlign w:val="subscript"/>
              </w:rPr>
              <w:t>320</w:t>
            </w:r>
            <w:r>
              <w:rPr>
                <w:rFonts w:ascii="Times New Roman" w:cs="Times New Roman" w:eastAsia="Times New Roman" w:hAnsi="Times New Roman"/>
                <w:sz w:val="10"/>
                <w:szCs w:val="10"/>
                <w:color w:val="008000"/>
              </w:rPr>
              <w:t>(11)</w:t>
            </w: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7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4"/>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award was granted on June 1, 2026. The award will vest in three equal annual installments beginning June 10, 2027.</w:t>
      </w:r>
    </w:p>
    <w:p>
      <w:pPr>
        <w:spacing w:after="0" w:line="50"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awards. The reported transaction was effected pursuant to a Rule 10b5-1 trading plan previously entered into by the reporting person on August 15, 2025.</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$48.95-$49.87. The price reported above reflects the weighted average sale price. The reporting person hereby undertakes to provide, upon request, to the SEC staff, the issuer, or a security holder of the issuer, full information regarding the number of shares and price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$49.99-$50.95. The price reported above reflects the weighted average sale price. The reporting person hereby undertakes to provide, upon request, to the SEC staff, the issuer, or a security holder of the issuer, full information regarding the number of shares and price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$50.99-$51.90. The price reported above reflects the weighted average sale price. The reporting person hereby undertakes to provide, upon request, to the SEC staff, the issuer, or a security holder of the issuer, full information regarding the number of shares and price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$52.00-$52.37. The price reported above reflects the weighted average sale price. The reporting person hereby undertakes to provide, upon request, to the SEC staff, the issuer, or a security holder of the issuer, full information regarding the number of shares and price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$47.80-$48.76.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$48.87-$49.62. The price reported above reflects the weighted average sale price. The reporting person hereby undertakes to provide,</w:t>
      </w:r>
    </w:p>
    <w:p>
      <w:pPr>
        <w:sectPr>
          <w:pgSz w:w="11900" w:h="16867"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upon request, to the SEC staff, the issuer, or a security holder of the issuer, full information regarding the number of shares and prices at which the transactions were effected.</w:t>
      </w:r>
    </w:p>
    <w:p>
      <w:pPr>
        <w:spacing w:after="0" w:line="50" w:lineRule="exact"/>
        <w:rPr>
          <w:sz w:val="20"/>
          <w:szCs w:val="20"/>
          <w:color w:val="auto"/>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$50.35-$50.99.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345,981 shares directly.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320 shares indirectly through the company's 401(k) plan as of June 3, 2026.</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John W. Kosiba, Jr.</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3463" TargetMode="External"/><Relationship Id="rId14" Type="http://schemas.openxmlformats.org/officeDocument/2006/relationships/hyperlink" Target="http://www.sec.gov/cgi-bin/browse-edgar?action=getcompany&amp;CIK=00008808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2026-06-03T15:20:32Z</dcterms:created>
  <dcterms:modified xsi:type="dcterms:W3CDTF">2026-06-03T15:20:32Z</dcterms:modified>
</cp:coreProperties>
</file>